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59" w:rsidRDefault="00736676">
      <w:r>
        <w:rPr>
          <w:noProof/>
          <w:lang w:val="en-IE" w:eastAsia="en-IE"/>
        </w:rPr>
        <mc:AlternateContent>
          <mc:Choice Requires="wps">
            <w:drawing>
              <wp:anchor distT="0" distB="0" distL="114300" distR="114300" simplePos="0" relativeHeight="251661312" behindDoc="0" locked="0" layoutInCell="1" allowOverlap="1" wp14:anchorId="3267F370" wp14:editId="58F2DE5C">
                <wp:simplePos x="0" y="0"/>
                <wp:positionH relativeFrom="column">
                  <wp:posOffset>3644876</wp:posOffset>
                </wp:positionH>
                <wp:positionV relativeFrom="paragraph">
                  <wp:posOffset>-727902</wp:posOffset>
                </wp:positionV>
                <wp:extent cx="2549501" cy="1403985"/>
                <wp:effectExtent l="0" t="0" r="22860" b="254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9501" cy="1403985"/>
                        </a:xfrm>
                        <a:prstGeom prst="rect">
                          <a:avLst/>
                        </a:prstGeom>
                        <a:solidFill>
                          <a:srgbClr val="FFFFFF"/>
                        </a:solidFill>
                        <a:ln w="9525">
                          <a:solidFill>
                            <a:srgbClr val="000000"/>
                          </a:solidFill>
                          <a:miter lim="800000"/>
                          <a:headEnd/>
                          <a:tailEnd/>
                        </a:ln>
                      </wps:spPr>
                      <wps:txbx>
                        <w:txbxContent>
                          <w:p w:rsidR="00736676" w:rsidRDefault="00736676" w:rsidP="00025509">
                            <w:pPr>
                              <w:jc w:val="right"/>
                            </w:pPr>
                            <w:r>
                              <w:t>ENAV15-10.6</w:t>
                            </w:r>
                          </w:p>
                          <w:p w:rsidR="00025509" w:rsidRDefault="00025509" w:rsidP="00025509">
                            <w:pPr>
                              <w:jc w:val="right"/>
                            </w:pPr>
                            <w:r>
                              <w:t xml:space="preserve">Formerly </w:t>
                            </w:r>
                            <w:r w:rsidRPr="00025509">
                              <w:t xml:space="preserve">Saint </w:t>
                            </w:r>
                            <w:proofErr w:type="spellStart"/>
                            <w:r w:rsidRPr="00025509">
                              <w:t>Germain</w:t>
                            </w:r>
                            <w:proofErr w:type="spellEnd"/>
                            <w:r w:rsidRPr="00025509">
                              <w:t xml:space="preserve"> Output 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7pt;margin-top:-57.3pt;width:200.7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">
                <v:textbox style="mso-fit-shape-to-text:t">
                  <w:txbxContent>
                    <w:p w:rsidR="00736676" w:rsidRDefault="00736676" w:rsidP="00025509">
                      <w:pPr>
                        <w:jc w:val="right"/>
                      </w:pPr>
                      <w:r>
                        <w:t>ENAV15-10.6</w:t>
                      </w:r>
                    </w:p>
                    <w:p w:rsidR="00025509" w:rsidRDefault="00025509" w:rsidP="00025509">
                      <w:pPr>
                        <w:jc w:val="right"/>
                      </w:pPr>
                      <w:r>
                        <w:t xml:space="preserve">Formerly </w:t>
                      </w:r>
                      <w:r w:rsidRPr="00025509">
                        <w:t xml:space="preserve">Saint </w:t>
                      </w:r>
                      <w:proofErr w:type="spellStart"/>
                      <w:r w:rsidRPr="00025509">
                        <w:t>Germain</w:t>
                      </w:r>
                      <w:proofErr w:type="spellEnd"/>
                      <w:r w:rsidRPr="00025509">
                        <w:t xml:space="preserve"> Output 02</w:t>
                      </w:r>
                    </w:p>
                  </w:txbxContent>
                </v:textbox>
              </v:shape>
            </w:pict>
          </mc:Fallback>
        </mc:AlternateContent>
      </w: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D5460B" w:rsidP="00D5460B">
            <w:pPr>
              <w:shd w:val="solid" w:color="FFFFFF" w:fill="FFFFFF"/>
              <w:spacing w:before="0" w:line="240" w:lineRule="atLeast"/>
            </w:pPr>
            <w:bookmarkStart w:id="0" w:name="ditulogo"/>
            <w:bookmarkEnd w:id="0"/>
            <w:r>
              <w:rPr>
                <w:noProof/>
                <w:lang w:val="en-IE" w:eastAsia="en-IE"/>
              </w:rPr>
              <w:drawing>
                <wp:inline distT="0" distB="0" distL="0" distR="0" wp14:anchorId="5CC205BF" wp14:editId="1A634A61">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bookmarkStart w:id="1" w:name="recibido"/>
      <w:bookmarkStart w:id="2" w:name="dnum" w:colFirst="1" w:colLast="1"/>
      <w:bookmarkEnd w:id="1"/>
      <w:tr w:rsidR="000069D4">
        <w:trPr>
          <w:cantSplit/>
        </w:trPr>
        <w:tc>
          <w:tcPr>
            <w:tcW w:w="6580" w:type="dxa"/>
            <w:vMerge w:val="restart"/>
          </w:tcPr>
          <w:p w:rsidR="000069D4" w:rsidRDefault="0095617E" w:rsidP="00D5460B">
            <w:pPr>
              <w:shd w:val="solid" w:color="FFFFFF" w:fill="FFFFFF"/>
              <w:tabs>
                <w:tab w:val="clear" w:pos="1134"/>
                <w:tab w:val="clear" w:pos="1871"/>
                <w:tab w:val="clear" w:pos="2268"/>
              </w:tabs>
              <w:spacing w:before="0" w:after="240"/>
              <w:ind w:left="1134" w:hanging="1134"/>
              <w:rPr>
                <w:rFonts w:ascii="Verdana" w:hAnsi="Verdana"/>
                <w:sz w:val="20"/>
              </w:rPr>
            </w:pPr>
            <w:r w:rsidRPr="0095617E">
              <w:rPr>
                <w:rFonts w:ascii="Verdana" w:hAnsi="Verdana"/>
                <w:noProof/>
                <w:sz w:val="20"/>
                <w:lang w:val="en-IE" w:eastAsia="en-IE"/>
              </w:rPr>
              <mc:AlternateContent>
                <mc:Choice Requires="wps">
                  <w:drawing>
                    <wp:anchor distT="0" distB="0" distL="114300" distR="114300" simplePos="0" relativeHeight="251659264" behindDoc="0" locked="0" layoutInCell="1" allowOverlap="1" wp14:anchorId="54E44280" wp14:editId="53D805DC">
                      <wp:simplePos x="0" y="0"/>
                      <wp:positionH relativeFrom="column">
                        <wp:posOffset>-62865</wp:posOffset>
                      </wp:positionH>
                      <wp:positionV relativeFrom="paragraph">
                        <wp:posOffset>155575</wp:posOffset>
                      </wp:positionV>
                      <wp:extent cx="30861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403985"/>
                              </a:xfrm>
                              <a:prstGeom prst="rect">
                                <a:avLst/>
                              </a:prstGeom>
                              <a:solidFill>
                                <a:srgbClr val="FFFFFF"/>
                              </a:solidFill>
                              <a:ln w="9525">
                                <a:noFill/>
                                <a:miter lim="800000"/>
                                <a:headEnd/>
                                <a:tailEnd/>
                              </a:ln>
                            </wps:spPr>
                            <wps:txbx>
                              <w:txbxContent>
                                <w:p w:rsidR="0095617E" w:rsidRDefault="0095617E">
                                  <w:r>
                                    <w:t xml:space="preserve">Source:   Annex 37 to document 5B/475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54E44280" id="_x0000_t202" coordsize="21600,21600" o:spt="202" path="m,l,21600r21600,l21600,xe">
                      <v:stroke joinstyle="miter"/>
                      <v:path gradientshapeok="t" o:connecttype="rect"/>
                    </v:shapetype>
                    <v:shape id="Text Box 2" o:spid="_x0000_s1026" type="#_x0000_t202" style="position:absolute;left:0;text-align:left;margin-left:-4.95pt;margin-top:12.25pt;width:24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" stroked="f">
                      <v:textbox style="mso-fit-shape-to-text:t">
                        <w:txbxContent>
                          <w:p w:rsidR="0095617E" w:rsidRDefault="0095617E">
                            <w:r>
                              <w:t xml:space="preserve">Source:   Annex 37 to document 5B/475 </w:t>
                            </w:r>
                          </w:p>
                        </w:txbxContent>
                      </v:textbox>
                    </v:shape>
                  </w:pict>
                </mc:Fallback>
              </mc:AlternateContent>
            </w:r>
            <w:r>
              <w:rPr>
                <w:rFonts w:ascii="Verdana" w:hAnsi="Verdana"/>
                <w:sz w:val="20"/>
              </w:rPr>
              <w:t xml:space="preserve">Received: </w:t>
            </w:r>
            <w:bookmarkStart w:id="3" w:name="_GoBack"/>
            <w:bookmarkEnd w:id="3"/>
          </w:p>
          <w:p w:rsidR="00D5460B" w:rsidRPr="00982084" w:rsidRDefault="00D5460B" w:rsidP="00D5460B">
            <w:pPr>
              <w:shd w:val="solid" w:color="FFFFFF" w:fill="FFFFFF"/>
              <w:tabs>
                <w:tab w:val="clear" w:pos="1134"/>
                <w:tab w:val="clear" w:pos="1871"/>
                <w:tab w:val="clear" w:pos="2268"/>
              </w:tabs>
              <w:spacing w:before="0" w:after="240"/>
              <w:ind w:left="1134" w:hanging="1134"/>
              <w:rPr>
                <w:rFonts w:ascii="Verdana" w:hAnsi="Verdana"/>
                <w:sz w:val="20"/>
              </w:rPr>
            </w:pPr>
          </w:p>
        </w:tc>
        <w:tc>
          <w:tcPr>
            <w:tcW w:w="3451" w:type="dxa"/>
          </w:tcPr>
          <w:p w:rsidR="000069D4" w:rsidRPr="00D5460B" w:rsidRDefault="00D5460B" w:rsidP="00651AD8">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651AD8">
              <w:rPr>
                <w:rFonts w:ascii="Verdana" w:hAnsi="Verdana"/>
                <w:b/>
                <w:sz w:val="20"/>
                <w:lang w:eastAsia="zh-CN"/>
              </w:rPr>
              <w:t xml:space="preserve">   </w:t>
            </w:r>
            <w:r>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date" w:colFirst="1" w:colLast="1"/>
            <w:bookmarkEnd w:id="2"/>
          </w:p>
        </w:tc>
        <w:tc>
          <w:tcPr>
            <w:tcW w:w="3451" w:type="dxa"/>
          </w:tcPr>
          <w:p w:rsidR="000069D4" w:rsidRPr="00D5460B" w:rsidRDefault="00651AD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      2014</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Pr="00D5460B" w:rsidRDefault="00D5460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D5460B" w:rsidP="00D5460B">
            <w:pPr>
              <w:pStyle w:val="Source"/>
              <w:rPr>
                <w:lang w:eastAsia="zh-CN"/>
              </w:rPr>
            </w:pPr>
            <w:bookmarkStart w:id="6" w:name="dsource" w:colFirst="0" w:colLast="0"/>
            <w:bookmarkEnd w:id="5"/>
            <w:r w:rsidRPr="00F05CF7">
              <w:rPr>
                <w:szCs w:val="28"/>
              </w:rPr>
              <w:t xml:space="preserve">International Association of Marine Aids to Navigation and </w:t>
            </w:r>
            <w:r w:rsidR="00A2058A">
              <w:rPr>
                <w:szCs w:val="28"/>
              </w:rPr>
              <w:br/>
            </w:r>
            <w:r w:rsidRPr="00F05CF7">
              <w:rPr>
                <w:szCs w:val="28"/>
              </w:rPr>
              <w:t>Lighthouse Authorities</w:t>
            </w:r>
          </w:p>
        </w:tc>
      </w:tr>
      <w:tr w:rsidR="000069D4">
        <w:trPr>
          <w:cantSplit/>
        </w:trPr>
        <w:tc>
          <w:tcPr>
            <w:tcW w:w="10031" w:type="dxa"/>
            <w:gridSpan w:val="2"/>
          </w:tcPr>
          <w:p w:rsidR="000069D4" w:rsidRDefault="00D5460B" w:rsidP="00A5173C">
            <w:pPr>
              <w:pStyle w:val="Title1"/>
              <w:rPr>
                <w:lang w:eastAsia="zh-CN"/>
              </w:rPr>
            </w:pPr>
            <w:bookmarkStart w:id="7" w:name="drec" w:colFirst="0" w:colLast="0"/>
            <w:bookmarkEnd w:id="6"/>
            <w:r w:rsidRPr="00B15B24">
              <w:t>Liaison Note</w:t>
            </w:r>
            <w:r>
              <w:t xml:space="preserve"> to ITU-R WP 5B</w:t>
            </w:r>
          </w:p>
        </w:tc>
      </w:tr>
      <w:tr w:rsidR="000069D4">
        <w:trPr>
          <w:cantSplit/>
        </w:trPr>
        <w:tc>
          <w:tcPr>
            <w:tcW w:w="10031" w:type="dxa"/>
            <w:gridSpan w:val="2"/>
          </w:tcPr>
          <w:p w:rsidR="000069D4" w:rsidRDefault="00201D7C" w:rsidP="00A32EEF">
            <w:pPr>
              <w:pStyle w:val="Title2"/>
              <w:rPr>
                <w:lang w:eastAsia="zh-CN"/>
              </w:rPr>
            </w:pPr>
            <w:bookmarkStart w:id="8" w:name="dtitle1" w:colFirst="0" w:colLast="0"/>
            <w:bookmarkEnd w:id="7"/>
            <w:r>
              <w:rPr>
                <w:lang w:val="en-US"/>
              </w:rPr>
              <w:t>Regarding tHE JUSTIFICa</w:t>
            </w:r>
            <w:r w:rsidR="00A32EEF">
              <w:rPr>
                <w:lang w:val="en-US"/>
              </w:rPr>
              <w:t>T</w:t>
            </w:r>
            <w:r>
              <w:rPr>
                <w:lang w:val="en-US"/>
              </w:rPr>
              <w:t>i</w:t>
            </w:r>
            <w:r w:rsidR="00A32EEF">
              <w:rPr>
                <w:lang w:val="en-US"/>
              </w:rPr>
              <w:t>ON OF THE CHANNEL PLAN FOR VDES UNDER AGENDA ITEM 1.16</w:t>
            </w:r>
          </w:p>
        </w:tc>
      </w:tr>
    </w:tbl>
    <w:p w:rsidR="00D5460B" w:rsidRPr="001F5202" w:rsidRDefault="006E1850" w:rsidP="006E1850">
      <w:pPr>
        <w:pStyle w:val="Heading1"/>
      </w:pPr>
      <w:bookmarkStart w:id="9" w:name="dbreak"/>
      <w:bookmarkEnd w:id="8"/>
      <w:bookmarkEnd w:id="9"/>
      <w:r>
        <w:t>1</w:t>
      </w:r>
      <w:r>
        <w:tab/>
      </w:r>
      <w:r w:rsidR="00D5460B" w:rsidRPr="001F5202">
        <w:t>Background</w:t>
      </w:r>
    </w:p>
    <w:p w:rsidR="00D5460B" w:rsidRPr="00CD6829" w:rsidRDefault="00D5460B" w:rsidP="00F51343">
      <w:r w:rsidRPr="001F5202">
        <w:t>IALA thanks ITU-R WP</w:t>
      </w:r>
      <w:r w:rsidR="006E1850">
        <w:t xml:space="preserve"> </w:t>
      </w:r>
      <w:r w:rsidRPr="001F5202">
        <w:t xml:space="preserve">5B for the opportunity to contribute to </w:t>
      </w:r>
      <w:r>
        <w:t xml:space="preserve">studies and the work for </w:t>
      </w:r>
      <w:r w:rsidRPr="001F5202">
        <w:t xml:space="preserve">WRC-15 </w:t>
      </w:r>
      <w:r w:rsidR="006E1850">
        <w:t>a</w:t>
      </w:r>
      <w:r w:rsidRPr="001F5202">
        <w:t xml:space="preserve">genda </w:t>
      </w:r>
      <w:r w:rsidR="006E1850">
        <w:t>i</w:t>
      </w:r>
      <w:r w:rsidRPr="001F5202">
        <w:t xml:space="preserve">tem 1.16. This liaison note </w:t>
      </w:r>
      <w:r w:rsidR="0095617E">
        <w:t>provides an evaluation of the three channel plans</w:t>
      </w:r>
      <w:r>
        <w:t>.</w:t>
      </w:r>
      <w:r w:rsidR="0095617E">
        <w:t xml:space="preserve">  Annex 1 is the criteria for evaluating each channel plan.  Annex 2 provides Use Cases evaluating each channel plan performance in supporting those Use Cases.</w:t>
      </w:r>
      <w:r>
        <w:t xml:space="preserve"> </w:t>
      </w:r>
    </w:p>
    <w:p w:rsidR="00D5460B" w:rsidRPr="001F5202" w:rsidRDefault="006E1850" w:rsidP="006E1850">
      <w:pPr>
        <w:pStyle w:val="Heading1"/>
      </w:pPr>
      <w:r>
        <w:t>2</w:t>
      </w:r>
      <w:r>
        <w:tab/>
      </w:r>
      <w:r w:rsidR="00D5460B" w:rsidRPr="006E1850">
        <w:t>Discussion</w:t>
      </w:r>
    </w:p>
    <w:p w:rsidR="003D7322" w:rsidRPr="003D7322" w:rsidRDefault="00201D7C" w:rsidP="00507AB8">
      <w:pPr>
        <w:rPr>
          <w:rFonts w:cs="Arial"/>
        </w:rPr>
      </w:pPr>
      <w:r>
        <w:t>IALA has</w:t>
      </w:r>
      <w:r w:rsidR="00507AB8">
        <w:t xml:space="preserve"> reviewed a list of channel criteria developed by ITU-R WP5B in Annex 37 to document 5B/475.    Each channel plan was evaluated against each </w:t>
      </w:r>
      <w:proofErr w:type="gramStart"/>
      <w:r w:rsidR="00507AB8">
        <w:t>criteria</w:t>
      </w:r>
      <w:proofErr w:type="gramEnd"/>
      <w:r w:rsidR="00507AB8">
        <w:t xml:space="preserve"> as appropriate.  The criteria evaluation can be found in Annex 1.</w:t>
      </w:r>
      <w:r w:rsidR="003D7322">
        <w:t xml:space="preserve">  </w:t>
      </w:r>
    </w:p>
    <w:p w:rsidR="0095617E" w:rsidRDefault="0095617E" w:rsidP="00BF1BC0">
      <w:r>
        <w:t xml:space="preserve">IALA has </w:t>
      </w:r>
      <w:r w:rsidR="00201D7C">
        <w:t xml:space="preserve">further </w:t>
      </w:r>
      <w:r>
        <w:t>reviewed six different Use Cases, spanning the needs for ship to ship as well as ship to shore and shore to ship information transfer either by terrestrial or satellite.  The Use Cases took into account potential implementation and variations and realistic variations in data volume.  Operational priorities were considered to enable design</w:t>
      </w:r>
      <w:r w:rsidR="00AB6257">
        <w:t xml:space="preserve"> of VDES to support a future modernized </w:t>
      </w:r>
      <w:r w:rsidR="00507AB8">
        <w:t>GMDSS if</w:t>
      </w:r>
      <w:r>
        <w:t xml:space="preserve"> so desired.  The primary considerations relate to the protection of the integrity of the function of the AIS system and the potential effects on other services, or other maritime services such as VHF voice communications.  During the deliberations it has become clear that voice VHF service may have significant effects on the effectiveness of the VDES as well as the existing AIS if not addressed.  This concern has become the primary factor in selecting the preferred channel plan.</w:t>
      </w:r>
      <w:r w:rsidR="00507AB8">
        <w:t xml:space="preserve">  The Use Cases and the evaluations can be found in Annex 2.</w:t>
      </w:r>
    </w:p>
    <w:p w:rsidR="003D7322" w:rsidRDefault="003D7322" w:rsidP="00BF1BC0"/>
    <w:p w:rsidR="003D7322" w:rsidRDefault="003D7322" w:rsidP="00BF1BC0">
      <w:r>
        <w:t>While each channel plan has merits, Channel Plan</w:t>
      </w:r>
      <w:r w:rsidR="00201D7C">
        <w:t>s</w:t>
      </w:r>
      <w:r>
        <w:t xml:space="preserve"> B and C are unacceptably susceptible to interference from VHF voice communications.</w:t>
      </w:r>
    </w:p>
    <w:p w:rsidR="003D7322" w:rsidRDefault="003D7322" w:rsidP="003D7322">
      <w:pPr>
        <w:pStyle w:val="Heading1"/>
      </w:pPr>
      <w:r>
        <w:lastRenderedPageBreak/>
        <w:t>3</w:t>
      </w:r>
      <w:r>
        <w:tab/>
        <w:t>Conclusion</w:t>
      </w:r>
    </w:p>
    <w:p w:rsidR="003D7322" w:rsidRDefault="003D7322" w:rsidP="003D7322"/>
    <w:p w:rsidR="003D7322" w:rsidRPr="003D7322" w:rsidRDefault="003D7322" w:rsidP="003D7322">
      <w:r>
        <w:t xml:space="preserve">After careful review IALA supports Channel Plan A as it supports the elaborated Use Cases and fulfils the criteria requirements.  </w:t>
      </w:r>
    </w:p>
    <w:p w:rsidR="003D7322" w:rsidRPr="003D7322" w:rsidRDefault="003D7322" w:rsidP="003D7322"/>
    <w:p w:rsidR="00D5460B" w:rsidRPr="00A2058A" w:rsidRDefault="003D7322" w:rsidP="00D56825">
      <w:pPr>
        <w:pStyle w:val="Heading1"/>
      </w:pPr>
      <w:r>
        <w:t>4</w:t>
      </w:r>
      <w:r w:rsidR="00D5460B" w:rsidRPr="00A2058A">
        <w:tab/>
        <w:t xml:space="preserve">Action </w:t>
      </w:r>
      <w:r w:rsidR="00D56825">
        <w:t>r</w:t>
      </w:r>
      <w:r w:rsidR="00D5460B" w:rsidRPr="00A2058A">
        <w:t>equested</w:t>
      </w:r>
    </w:p>
    <w:p w:rsidR="00D5460B" w:rsidRDefault="00D5460B" w:rsidP="00F51343">
      <w:pPr>
        <w:rPr>
          <w:lang w:val="en-US" w:eastAsia="de-DE"/>
        </w:rPr>
      </w:pPr>
      <w:r w:rsidRPr="001F5202">
        <w:rPr>
          <w:lang w:val="en-US" w:eastAsia="de-DE"/>
        </w:rPr>
        <w:t xml:space="preserve">IALA </w:t>
      </w:r>
      <w:proofErr w:type="gramStart"/>
      <w:r w:rsidRPr="001F5202">
        <w:rPr>
          <w:lang w:val="en-US" w:eastAsia="de-DE"/>
        </w:rPr>
        <w:t>request ITU-R WP</w:t>
      </w:r>
      <w:r w:rsidR="006E1850">
        <w:rPr>
          <w:lang w:val="en-US" w:eastAsia="de-DE"/>
        </w:rPr>
        <w:t xml:space="preserve"> </w:t>
      </w:r>
      <w:r w:rsidRPr="001F5202">
        <w:rPr>
          <w:lang w:val="en-US" w:eastAsia="de-DE"/>
        </w:rPr>
        <w:t>5B consider</w:t>
      </w:r>
      <w:proofErr w:type="gramEnd"/>
      <w:r w:rsidRPr="001F5202">
        <w:rPr>
          <w:lang w:val="en-US" w:eastAsia="de-DE"/>
        </w:rPr>
        <w:t xml:space="preserve"> </w:t>
      </w:r>
      <w:r w:rsidR="003D7322">
        <w:rPr>
          <w:lang w:val="en-US" w:eastAsia="de-DE"/>
        </w:rPr>
        <w:t>these Annex’s during t</w:t>
      </w:r>
      <w:r w:rsidR="000D486C">
        <w:rPr>
          <w:lang w:val="en-US" w:eastAsia="de-DE"/>
        </w:rPr>
        <w:t>he finalization of the CPM text.</w:t>
      </w:r>
    </w:p>
    <w:p w:rsidR="000D486C" w:rsidRDefault="000D486C" w:rsidP="00F51343">
      <w:pPr>
        <w:rPr>
          <w:lang w:val="en-US" w:eastAsia="de-DE"/>
        </w:rPr>
      </w:pPr>
    </w:p>
    <w:p w:rsidR="000D486C" w:rsidRPr="00D5460B" w:rsidRDefault="000D486C" w:rsidP="00F51343">
      <w:pPr>
        <w:rPr>
          <w:lang w:val="en-US" w:eastAsia="zh-CN"/>
        </w:rPr>
      </w:pPr>
      <w:r>
        <w:rPr>
          <w:lang w:val="en-US" w:eastAsia="de-DE"/>
        </w:rPr>
        <w:t>Annexes:  2</w:t>
      </w:r>
    </w:p>
    <w:p w:rsidR="006E1850" w:rsidRPr="00F51343" w:rsidRDefault="006E1850" w:rsidP="0032202E">
      <w:pPr>
        <w:pStyle w:val="Reasons"/>
        <w:rPr>
          <w:lang w:val="en-US"/>
        </w:rPr>
      </w:pPr>
    </w:p>
    <w:p w:rsidR="000069D4" w:rsidRDefault="006E1850" w:rsidP="006E1850">
      <w:pPr>
        <w:jc w:val="center"/>
      </w:pPr>
      <w:r>
        <w:t>______________</w:t>
      </w:r>
    </w:p>
    <w:p w:rsidR="000D486C" w:rsidRDefault="000D486C">
      <w:pPr>
        <w:tabs>
          <w:tab w:val="clear" w:pos="1134"/>
          <w:tab w:val="clear" w:pos="1871"/>
          <w:tab w:val="clear" w:pos="2268"/>
        </w:tabs>
        <w:overflowPunct/>
        <w:autoSpaceDE/>
        <w:autoSpaceDN/>
        <w:adjustRightInd/>
        <w:spacing w:before="0"/>
        <w:textAlignment w:val="auto"/>
        <w:rPr>
          <w:lang w:val="en-US" w:eastAsia="zh-CN"/>
        </w:rPr>
      </w:pPr>
      <w:r>
        <w:rPr>
          <w:lang w:val="en-US" w:eastAsia="zh-CN"/>
        </w:rPr>
        <w:br w:type="page"/>
      </w:r>
    </w:p>
    <w:p w:rsidR="000D486C" w:rsidRDefault="000D486C" w:rsidP="006E1850">
      <w:pPr>
        <w:jc w:val="center"/>
        <w:rPr>
          <w:lang w:val="en-US" w:eastAsia="zh-CN"/>
        </w:rPr>
      </w:pPr>
      <w:r>
        <w:rPr>
          <w:lang w:val="en-US" w:eastAsia="zh-CN"/>
        </w:rPr>
        <w:lastRenderedPageBreak/>
        <w:t>ANNEX 1</w:t>
      </w:r>
    </w:p>
    <w:p w:rsidR="000D486C" w:rsidRDefault="000D486C" w:rsidP="006E1850">
      <w:pPr>
        <w:jc w:val="center"/>
        <w:rPr>
          <w:lang w:val="en-US" w:eastAsia="zh-CN"/>
        </w:rPr>
      </w:pPr>
    </w:p>
    <w:p w:rsidR="000D486C" w:rsidRDefault="000D486C" w:rsidP="006E1850">
      <w:pPr>
        <w:jc w:val="center"/>
        <w:rPr>
          <w:lang w:val="en-US" w:eastAsia="zh-CN"/>
        </w:rPr>
      </w:pPr>
      <w:r>
        <w:rPr>
          <w:lang w:val="en-US" w:eastAsia="zh-CN"/>
        </w:rPr>
        <w:t>JUSTIFICATION FOR THE CHANNELING PLAN FOR VHF DATA EXCHANGE SYSTEM UNDER AGENDA ITEM 1.16</w:t>
      </w:r>
    </w:p>
    <w:p w:rsidR="00AD6F32" w:rsidRDefault="00AD6F32" w:rsidP="00AD6F32">
      <w:pPr>
        <w:rPr>
          <w:lang w:val="en-US" w:eastAsia="zh-CN"/>
        </w:rPr>
      </w:pPr>
      <w:r>
        <w:rPr>
          <w:lang w:val="en-US" w:eastAsia="zh-CN"/>
        </w:rPr>
        <w:t>This Annex contains a number of criteria that are considered of importance when assessing the proposed VDES channel plans.  The criteria can be found in Annex 37 to document 5B/475.</w:t>
      </w:r>
    </w:p>
    <w:p w:rsidR="000D486C" w:rsidRDefault="000D486C" w:rsidP="006E1850">
      <w:pPr>
        <w:jc w:val="center"/>
        <w:rPr>
          <w:lang w:val="en-US" w:eastAsia="zh-CN"/>
        </w:rPr>
      </w:pPr>
    </w:p>
    <w:tbl>
      <w:tblPr>
        <w:tblStyle w:val="TableGrid"/>
        <w:tblW w:w="5000" w:type="pct"/>
        <w:jc w:val="center"/>
        <w:tblLook w:val="04A0" w:firstRow="1" w:lastRow="0" w:firstColumn="1" w:lastColumn="0" w:noHBand="0" w:noVBand="1"/>
      </w:tblPr>
      <w:tblGrid>
        <w:gridCol w:w="2683"/>
        <w:gridCol w:w="3587"/>
        <w:gridCol w:w="3585"/>
      </w:tblGrid>
      <w:tr w:rsidR="000D486C" w:rsidRPr="00261B18" w:rsidTr="00412928">
        <w:trPr>
          <w:tblHeader/>
          <w:jc w:val="center"/>
        </w:trPr>
        <w:tc>
          <w:tcPr>
            <w:tcW w:w="1361" w:type="pct"/>
            <w:shd w:val="clear" w:color="auto" w:fill="548DD4" w:themeFill="text2" w:themeFillTint="99"/>
            <w:vAlign w:val="center"/>
          </w:tcPr>
          <w:p w:rsidR="000D486C" w:rsidRPr="00261B18" w:rsidRDefault="000D486C" w:rsidP="00412928">
            <w:pPr>
              <w:pStyle w:val="Tablehead"/>
              <w:spacing w:before="0" w:after="0"/>
              <w:rPr>
                <w:rFonts w:hint="eastAsia"/>
              </w:rPr>
            </w:pPr>
            <w:r w:rsidRPr="00261B18">
              <w:t>Criteria</w:t>
            </w:r>
          </w:p>
        </w:tc>
        <w:tc>
          <w:tcPr>
            <w:tcW w:w="1820" w:type="pct"/>
            <w:shd w:val="clear" w:color="auto" w:fill="548DD4" w:themeFill="text2" w:themeFillTint="99"/>
            <w:vAlign w:val="center"/>
          </w:tcPr>
          <w:p w:rsidR="000D486C" w:rsidRPr="00261B18" w:rsidRDefault="000D486C" w:rsidP="00412928">
            <w:pPr>
              <w:pStyle w:val="Tablehead"/>
              <w:spacing w:before="0" w:after="0"/>
              <w:rPr>
                <w:rFonts w:hint="eastAsia"/>
              </w:rPr>
            </w:pPr>
            <w:r w:rsidRPr="00261B18">
              <w:t>Description</w:t>
            </w:r>
          </w:p>
        </w:tc>
        <w:tc>
          <w:tcPr>
            <w:tcW w:w="1819" w:type="pct"/>
            <w:shd w:val="clear" w:color="auto" w:fill="548DD4" w:themeFill="text2" w:themeFillTint="99"/>
          </w:tcPr>
          <w:p w:rsidR="000D486C" w:rsidRPr="00261B18" w:rsidRDefault="000D486C" w:rsidP="00412928">
            <w:pPr>
              <w:pStyle w:val="Tablehead"/>
              <w:spacing w:before="0" w:after="0"/>
              <w:rPr>
                <w:rFonts w:hint="eastAsia"/>
              </w:rPr>
            </w:pPr>
          </w:p>
        </w:tc>
      </w:tr>
      <w:tr w:rsidR="000D486C" w:rsidRPr="00261B18" w:rsidTr="00412928">
        <w:trPr>
          <w:jc w:val="center"/>
        </w:trPr>
        <w:tc>
          <w:tcPr>
            <w:tcW w:w="1361" w:type="pct"/>
            <w:shd w:val="clear" w:color="auto" w:fill="8DB3E2" w:themeFill="text2" w:themeFillTint="66"/>
            <w:vAlign w:val="center"/>
          </w:tcPr>
          <w:p w:rsidR="000D486C" w:rsidRPr="00261B18" w:rsidRDefault="000D486C" w:rsidP="00412928">
            <w:pPr>
              <w:pStyle w:val="Tablehead"/>
              <w:spacing w:before="0" w:after="0"/>
              <w:rPr>
                <w:rFonts w:hint="eastAsia"/>
              </w:rPr>
            </w:pPr>
            <w:r>
              <w:rPr>
                <w:color w:val="FFFFFF" w:themeColor="background1"/>
              </w:rPr>
              <w:t xml:space="preserve">System </w:t>
            </w:r>
            <w:r w:rsidRPr="00261B18">
              <w:rPr>
                <w:color w:val="FFFFFF" w:themeColor="background1"/>
              </w:rPr>
              <w:t>Aspects</w:t>
            </w:r>
          </w:p>
        </w:tc>
        <w:tc>
          <w:tcPr>
            <w:tcW w:w="1820" w:type="pct"/>
            <w:shd w:val="clear" w:color="auto" w:fill="8DB3E2" w:themeFill="text2" w:themeFillTint="66"/>
            <w:vAlign w:val="center"/>
          </w:tcPr>
          <w:p w:rsidR="000D486C" w:rsidRPr="00261B18" w:rsidRDefault="000D486C" w:rsidP="00412928">
            <w:pPr>
              <w:pStyle w:val="Tablehead"/>
              <w:rPr>
                <w:rFonts w:hint="eastAsia"/>
              </w:rPr>
            </w:pPr>
          </w:p>
        </w:tc>
        <w:tc>
          <w:tcPr>
            <w:tcW w:w="1819" w:type="pct"/>
            <w:shd w:val="clear" w:color="auto" w:fill="8DB3E2" w:themeFill="text2" w:themeFillTint="66"/>
          </w:tcPr>
          <w:p w:rsidR="000D486C" w:rsidRPr="00261B18" w:rsidRDefault="000D486C" w:rsidP="00412928">
            <w:pPr>
              <w:pStyle w:val="Tablehead"/>
              <w:rPr>
                <w:rFonts w:hint="eastAsia"/>
              </w:rPr>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 xml:space="preserve">AIS </w:t>
            </w:r>
            <w:r w:rsidRPr="00261B18">
              <w:sym w:font="Wingdings" w:char="F0DF"/>
            </w:r>
            <w:r w:rsidRPr="00261B18">
              <w:sym w:font="Wingdings" w:char="F0E0"/>
            </w:r>
            <w:r w:rsidRPr="00261B18">
              <w:t xml:space="preserve"> VDE dependency</w:t>
            </w:r>
          </w:p>
        </w:tc>
        <w:tc>
          <w:tcPr>
            <w:tcW w:w="1820" w:type="pct"/>
            <w:shd w:val="clear" w:color="auto" w:fill="DBE5F1" w:themeFill="accent1" w:themeFillTint="33"/>
            <w:vAlign w:val="center"/>
          </w:tcPr>
          <w:p w:rsidR="000D486C" w:rsidRPr="00261B18" w:rsidRDefault="000D486C" w:rsidP="00412928">
            <w:pPr>
              <w:pStyle w:val="Tabletext"/>
            </w:pPr>
            <w:r w:rsidRPr="00261B18">
              <w:t xml:space="preserve">The overall dependency of the existing AIS system with VDES. </w:t>
            </w:r>
            <w:r>
              <w:br/>
            </w:r>
            <w:r w:rsidRPr="00261B18">
              <w:t>This includes ASM and LR-AIS.</w:t>
            </w:r>
          </w:p>
          <w:p w:rsidR="000D486C" w:rsidRPr="00261B18" w:rsidRDefault="000D486C" w:rsidP="00412928">
            <w:pPr>
              <w:pStyle w:val="Tabletext"/>
            </w:pPr>
            <w:r w:rsidRPr="00261B18">
              <w:t>Could a high AIS load take VDES capacity away?</w:t>
            </w:r>
          </w:p>
          <w:p w:rsidR="000D486C" w:rsidRPr="00261B18" w:rsidRDefault="000D486C" w:rsidP="00412928">
            <w:pPr>
              <w:pStyle w:val="Tabletext"/>
            </w:pPr>
            <w:r w:rsidRPr="00261B18">
              <w:t xml:space="preserve">Could a high </w:t>
            </w:r>
            <w:r>
              <w:t xml:space="preserve">VDES </w:t>
            </w:r>
            <w:r w:rsidRPr="00261B18">
              <w:t xml:space="preserve">load take </w:t>
            </w:r>
            <w:r>
              <w:t xml:space="preserve">AIS </w:t>
            </w:r>
            <w:r w:rsidRPr="00261B18">
              <w:t>capacity away?</w:t>
            </w:r>
          </w:p>
          <w:p w:rsidR="000D486C" w:rsidRDefault="000D486C" w:rsidP="00412928">
            <w:pPr>
              <w:pStyle w:val="Tabletext"/>
            </w:pPr>
            <w:r>
              <w:t>Does VDE need to be coordinated with AIS? If so,</w:t>
            </w:r>
          </w:p>
          <w:p w:rsidR="000D486C" w:rsidRDefault="000D486C" w:rsidP="00412928">
            <w:pPr>
              <w:pStyle w:val="Tabletext"/>
            </w:pPr>
            <w:r>
              <w:t>Do they have to be interfaced</w:t>
            </w:r>
            <w:r w:rsidRPr="00261B18">
              <w:t>?</w:t>
            </w:r>
          </w:p>
          <w:p w:rsidR="000D486C" w:rsidRPr="00261B18" w:rsidRDefault="000D486C" w:rsidP="00412928">
            <w:pPr>
              <w:pStyle w:val="Tabletext"/>
            </w:pPr>
            <w:r>
              <w:t xml:space="preserve">What would happen in case of </w:t>
            </w:r>
            <w:proofErr w:type="gramStart"/>
            <w:r>
              <w:t>a</w:t>
            </w:r>
            <w:proofErr w:type="gramEnd"/>
            <w:r>
              <w:t xml:space="preserve"> AIS failure/overload? Would the VDE stop working? And vice versa</w:t>
            </w:r>
          </w:p>
        </w:tc>
        <w:tc>
          <w:tcPr>
            <w:tcW w:w="1819" w:type="pct"/>
            <w:shd w:val="clear" w:color="auto" w:fill="DBE5F1" w:themeFill="accent1" w:themeFillTint="33"/>
          </w:tcPr>
          <w:p w:rsidR="000D486C" w:rsidRDefault="000D486C" w:rsidP="00412928">
            <w:pPr>
              <w:pStyle w:val="Tabletext"/>
            </w:pPr>
            <w:r w:rsidRPr="00261B18">
              <w:t>Could a high AIS load take VDES capacity away?</w:t>
            </w:r>
            <w:r>
              <w:t xml:space="preserve">   </w:t>
            </w:r>
          </w:p>
          <w:p w:rsidR="000D486C" w:rsidRDefault="000D486C" w:rsidP="00412928">
            <w:pPr>
              <w:pStyle w:val="Tabletext"/>
              <w:ind w:left="284"/>
            </w:pPr>
            <w:r>
              <w:t xml:space="preserve">  Channel Plan A:  No</w:t>
            </w:r>
          </w:p>
          <w:p w:rsidR="000D486C" w:rsidRDefault="000D486C" w:rsidP="00412928">
            <w:pPr>
              <w:pStyle w:val="Tabletext"/>
              <w:ind w:left="284"/>
            </w:pPr>
            <w:r>
              <w:t xml:space="preserve">  Channel Plan B:  No </w:t>
            </w:r>
          </w:p>
          <w:p w:rsidR="000D486C" w:rsidRDefault="000D486C" w:rsidP="00412928">
            <w:pPr>
              <w:pStyle w:val="Tabletext"/>
              <w:ind w:left="284"/>
            </w:pPr>
            <w:r>
              <w:t xml:space="preserve">  Channel Plan C:  No </w:t>
            </w:r>
          </w:p>
          <w:p w:rsidR="000D486C" w:rsidRDefault="000D486C" w:rsidP="00412928">
            <w:pPr>
              <w:pStyle w:val="Tabletext"/>
            </w:pPr>
            <w:r w:rsidRPr="00261B18">
              <w:t xml:space="preserve">Could a high </w:t>
            </w:r>
            <w:r>
              <w:t xml:space="preserve">VDES </w:t>
            </w:r>
            <w:r w:rsidRPr="00261B18">
              <w:t xml:space="preserve">load take </w:t>
            </w:r>
            <w:r>
              <w:t xml:space="preserve">AIS </w:t>
            </w:r>
            <w:r w:rsidRPr="00261B18">
              <w:t>capacity away?</w:t>
            </w:r>
            <w:r>
              <w:t xml:space="preserve"> </w:t>
            </w:r>
          </w:p>
          <w:p w:rsidR="000D486C" w:rsidRDefault="000D486C" w:rsidP="00412928">
            <w:pPr>
              <w:pStyle w:val="Tabletext"/>
              <w:ind w:left="284"/>
            </w:pPr>
            <w:r>
              <w:t xml:space="preserve">  Channel Plan A:  No </w:t>
            </w:r>
          </w:p>
          <w:p w:rsidR="000D486C" w:rsidRDefault="000D486C" w:rsidP="00412928">
            <w:pPr>
              <w:pStyle w:val="Tabletext"/>
              <w:ind w:left="284"/>
            </w:pPr>
            <w:r>
              <w:t xml:space="preserve">  Channel Plan B:  No </w:t>
            </w:r>
          </w:p>
          <w:p w:rsidR="000D486C" w:rsidRDefault="000D486C" w:rsidP="00412928">
            <w:pPr>
              <w:pStyle w:val="Tabletext"/>
              <w:ind w:left="284"/>
            </w:pPr>
            <w:r>
              <w:t xml:space="preserve">  Channel Plan C:  No</w:t>
            </w:r>
          </w:p>
          <w:p w:rsidR="000D486C" w:rsidRDefault="000D486C" w:rsidP="00412928">
            <w:pPr>
              <w:pStyle w:val="Tabletext"/>
            </w:pPr>
            <w:r>
              <w:t xml:space="preserve">Does VDE need to be coordinated with AIS? </w:t>
            </w:r>
          </w:p>
          <w:p w:rsidR="000D486C" w:rsidRDefault="000D486C" w:rsidP="00412928">
            <w:pPr>
              <w:pStyle w:val="Tabletext"/>
              <w:ind w:left="284"/>
            </w:pPr>
            <w:r>
              <w:t>This is not a function of the channel plan.  A protocol must be defined that takes into account the ability to maximize AIS reception aboard ship;  A ship receiver will be desensitized when transmitting however care must be taken to ensure that the collision avoidance aspects of AIS are maintained (near ships must be heard);</w:t>
            </w:r>
          </w:p>
          <w:p w:rsidR="000D486C" w:rsidRDefault="000D486C" w:rsidP="00412928">
            <w:pPr>
              <w:pStyle w:val="Tabletext"/>
              <w:ind w:left="284"/>
            </w:pPr>
            <w:r>
              <w:t>Care must be taken to ensure that the Sat downlink does not interfere with ASM</w:t>
            </w:r>
            <w:r w:rsidR="00AB6257">
              <w:t xml:space="preserve"> channels</w:t>
            </w:r>
            <w:r>
              <w:t>;</w:t>
            </w:r>
          </w:p>
          <w:p w:rsidR="000D486C" w:rsidRDefault="000D486C" w:rsidP="00412928">
            <w:pPr>
              <w:pStyle w:val="Tabletext"/>
            </w:pPr>
            <w:r>
              <w:t>Do they have to be interfaced</w:t>
            </w:r>
            <w:r w:rsidRPr="00261B18">
              <w:t>?</w:t>
            </w:r>
          </w:p>
          <w:p w:rsidR="000D486C" w:rsidRDefault="000D486C" w:rsidP="00412928">
            <w:pPr>
              <w:pStyle w:val="Tabletext"/>
              <w:ind w:left="284"/>
            </w:pPr>
            <w:r>
              <w:t xml:space="preserve">Yes – coordination is required, especially between ASM </w:t>
            </w:r>
            <w:r w:rsidR="00AB6257">
              <w:t xml:space="preserve">channels </w:t>
            </w:r>
            <w:r>
              <w:t>and AIS;  This is true for all three channel plans;</w:t>
            </w:r>
          </w:p>
          <w:p w:rsidR="000D486C" w:rsidRDefault="000D486C" w:rsidP="00412928">
            <w:pPr>
              <w:pStyle w:val="Tabletext"/>
            </w:pPr>
            <w:r>
              <w:t>What would happen in case of an AIS failure/overload? Would the VDE stop working? And vice versa</w:t>
            </w:r>
          </w:p>
          <w:p w:rsidR="000D486C" w:rsidRDefault="000D486C" w:rsidP="00412928">
            <w:pPr>
              <w:pStyle w:val="Tabletext"/>
              <w:ind w:left="284"/>
            </w:pPr>
            <w:r>
              <w:t xml:space="preserve"> Failure is defined as over a 50% load on the AIS;   The VDE would not be impacted with all three channel plans;</w:t>
            </w:r>
          </w:p>
          <w:p w:rsidR="000D486C" w:rsidRDefault="000D486C" w:rsidP="00412928">
            <w:pPr>
              <w:pStyle w:val="Tabletext"/>
            </w:pPr>
          </w:p>
          <w:p w:rsidR="000D486C" w:rsidRDefault="000D486C" w:rsidP="00412928">
            <w:pPr>
              <w:pStyle w:val="Tabletext"/>
            </w:pPr>
          </w:p>
          <w:p w:rsidR="000D486C" w:rsidRDefault="000D486C" w:rsidP="00412928">
            <w:pPr>
              <w:pStyle w:val="Tabletext"/>
            </w:pPr>
          </w:p>
          <w:p w:rsidR="000D486C" w:rsidRDefault="000D486C" w:rsidP="00412928">
            <w:pPr>
              <w:pStyle w:val="Tabletext"/>
              <w:ind w:left="284"/>
            </w:pPr>
          </w:p>
          <w:p w:rsidR="000D486C" w:rsidRPr="00261B18"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VDE-T</w:t>
            </w:r>
            <w:r>
              <w:t>errestrial</w:t>
            </w:r>
            <w:r w:rsidRPr="00261B18">
              <w:t xml:space="preserve"> </w:t>
            </w:r>
            <w:r w:rsidRPr="00261B18">
              <w:sym w:font="Wingdings" w:char="F0E0"/>
            </w:r>
            <w:r w:rsidRPr="00261B18">
              <w:t xml:space="preserve"> SAT-AIS interference</w:t>
            </w:r>
          </w:p>
        </w:tc>
        <w:tc>
          <w:tcPr>
            <w:tcW w:w="1820" w:type="pct"/>
            <w:shd w:val="clear" w:color="auto" w:fill="DBE5F1" w:themeFill="accent1" w:themeFillTint="33"/>
            <w:vAlign w:val="center"/>
          </w:tcPr>
          <w:p w:rsidR="000D486C" w:rsidRPr="00261B18" w:rsidRDefault="000D486C" w:rsidP="00412928">
            <w:pPr>
              <w:pStyle w:val="Tabletext"/>
            </w:pPr>
            <w:r>
              <w:t>I</w:t>
            </w:r>
            <w:r w:rsidRPr="00261B18">
              <w:t xml:space="preserve">nterference </w:t>
            </w:r>
            <w:r>
              <w:t>level caused by</w:t>
            </w:r>
            <w:r w:rsidRPr="00261B18">
              <w:t xml:space="preserve"> VDE</w:t>
            </w:r>
            <w:r>
              <w:t xml:space="preserve"> terrestrial transmissions </w:t>
            </w:r>
            <w:r w:rsidRPr="00261B18">
              <w:t xml:space="preserve">to SAT-AIS </w:t>
            </w:r>
            <w:r w:rsidRPr="00261B18">
              <w:lastRenderedPageBreak/>
              <w:t xml:space="preserve">reception.  This includes reception of LR-AIS, ASM1/2, </w:t>
            </w:r>
            <w:proofErr w:type="gramStart"/>
            <w:r w:rsidRPr="00261B18">
              <w:t>AIS1</w:t>
            </w:r>
            <w:proofErr w:type="gramEnd"/>
            <w:r w:rsidRPr="00261B18">
              <w:t>/2.</w:t>
            </w:r>
          </w:p>
        </w:tc>
        <w:tc>
          <w:tcPr>
            <w:tcW w:w="1819" w:type="pct"/>
            <w:shd w:val="clear" w:color="auto" w:fill="DBE5F1" w:themeFill="accent1" w:themeFillTint="33"/>
          </w:tcPr>
          <w:p w:rsidR="000D486C" w:rsidRPr="0095700D" w:rsidRDefault="000D486C" w:rsidP="00412928">
            <w:pPr>
              <w:rPr>
                <w:sz w:val="20"/>
              </w:rPr>
            </w:pPr>
            <w:r w:rsidRPr="0095700D">
              <w:rPr>
                <w:sz w:val="20"/>
              </w:rPr>
              <w:lastRenderedPageBreak/>
              <w:t xml:space="preserve">Will interference caused by VDE terrestrial transmissions perturb SAT-AIS </w:t>
            </w:r>
            <w:r w:rsidRPr="0095700D">
              <w:rPr>
                <w:sz w:val="20"/>
              </w:rPr>
              <w:lastRenderedPageBreak/>
              <w:t xml:space="preserve">reception? This includes reception of LR-AIS, ASM1/2, </w:t>
            </w:r>
            <w:proofErr w:type="gramStart"/>
            <w:r w:rsidRPr="0095700D">
              <w:rPr>
                <w:sz w:val="20"/>
              </w:rPr>
              <w:t>AIS1</w:t>
            </w:r>
            <w:proofErr w:type="gramEnd"/>
            <w:r w:rsidRPr="0095700D">
              <w:rPr>
                <w:sz w:val="20"/>
              </w:rPr>
              <w:t>/2.</w:t>
            </w:r>
          </w:p>
          <w:p w:rsidR="000D486C" w:rsidRPr="0095700D" w:rsidRDefault="000D486C" w:rsidP="00412928">
            <w:pPr>
              <w:ind w:left="720"/>
              <w:rPr>
                <w:sz w:val="20"/>
              </w:rPr>
            </w:pPr>
            <w:r w:rsidRPr="0095700D">
              <w:rPr>
                <w:sz w:val="20"/>
              </w:rPr>
              <w:t>The only possible interference is to LR-AIS;  This is not an issue for any of the channel plans;</w:t>
            </w:r>
          </w:p>
          <w:p w:rsidR="000D486C"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AA1C30" w:rsidRDefault="000D486C" w:rsidP="00412928">
            <w:pPr>
              <w:pStyle w:val="Tabletext"/>
              <w:rPr>
                <w:lang w:val="da-DK"/>
              </w:rPr>
            </w:pPr>
            <w:r w:rsidRPr="00AA1C30">
              <w:rPr>
                <w:lang w:val="da-DK"/>
              </w:rPr>
              <w:lastRenderedPageBreak/>
              <w:t xml:space="preserve">VDE-SAT </w:t>
            </w:r>
            <w:r w:rsidRPr="00261B18">
              <w:sym w:font="Wingdings" w:char="F0E0"/>
            </w:r>
            <w:r w:rsidRPr="00AA1C30">
              <w:rPr>
                <w:lang w:val="da-DK"/>
              </w:rPr>
              <w:t xml:space="preserve"> SAT-AIS interference</w:t>
            </w:r>
          </w:p>
        </w:tc>
        <w:tc>
          <w:tcPr>
            <w:tcW w:w="1820" w:type="pct"/>
            <w:shd w:val="clear" w:color="auto" w:fill="DBE5F1" w:themeFill="accent1" w:themeFillTint="33"/>
            <w:vAlign w:val="center"/>
          </w:tcPr>
          <w:p w:rsidR="000D486C" w:rsidRPr="00261B18" w:rsidRDefault="000D486C" w:rsidP="00412928">
            <w:pPr>
              <w:pStyle w:val="Tabletext"/>
            </w:pPr>
            <w:r>
              <w:t>I</w:t>
            </w:r>
            <w:r w:rsidRPr="00261B18">
              <w:t>nterference</w:t>
            </w:r>
            <w:r>
              <w:t xml:space="preserve"> level</w:t>
            </w:r>
            <w:r w:rsidRPr="00261B18">
              <w:t xml:space="preserve"> </w:t>
            </w:r>
            <w:r>
              <w:t>caused</w:t>
            </w:r>
            <w:r w:rsidRPr="00261B18">
              <w:t xml:space="preserve"> </w:t>
            </w:r>
            <w:r>
              <w:t xml:space="preserve">by </w:t>
            </w:r>
            <w:r w:rsidRPr="00261B18">
              <w:t>VDE</w:t>
            </w:r>
            <w:r>
              <w:t xml:space="preserve"> satellite transmissions </w:t>
            </w:r>
            <w:r w:rsidRPr="00261B18">
              <w:t xml:space="preserve">to SAT-AIS reception. This includes reception of LR-AIS, ASM1/2, </w:t>
            </w:r>
            <w:proofErr w:type="gramStart"/>
            <w:r w:rsidRPr="00261B18">
              <w:t>AIS1</w:t>
            </w:r>
            <w:proofErr w:type="gramEnd"/>
            <w:r w:rsidRPr="00261B18">
              <w:t>/2.</w:t>
            </w:r>
          </w:p>
        </w:tc>
        <w:tc>
          <w:tcPr>
            <w:tcW w:w="1819" w:type="pct"/>
            <w:shd w:val="clear" w:color="auto" w:fill="DBE5F1" w:themeFill="accent1" w:themeFillTint="33"/>
          </w:tcPr>
          <w:p w:rsidR="000D486C" w:rsidRPr="0095700D" w:rsidRDefault="000D486C" w:rsidP="00412928">
            <w:pPr>
              <w:rPr>
                <w:sz w:val="20"/>
              </w:rPr>
            </w:pPr>
            <w:r w:rsidRPr="0095700D">
              <w:rPr>
                <w:sz w:val="20"/>
              </w:rPr>
              <w:t xml:space="preserve">Will interference level caused by VDE satellite transmissions perturb SAT-AIS reception? This includes reception of LR-AIS, ASM1/2, </w:t>
            </w:r>
            <w:proofErr w:type="gramStart"/>
            <w:r w:rsidRPr="0095700D">
              <w:rPr>
                <w:sz w:val="20"/>
              </w:rPr>
              <w:t>AIS1</w:t>
            </w:r>
            <w:proofErr w:type="gramEnd"/>
            <w:r w:rsidRPr="0095700D">
              <w:rPr>
                <w:sz w:val="20"/>
              </w:rPr>
              <w:t>/2.</w:t>
            </w:r>
          </w:p>
          <w:p w:rsidR="000D486C" w:rsidRPr="0095700D" w:rsidRDefault="000D486C" w:rsidP="00412928">
            <w:pPr>
              <w:ind w:left="720"/>
              <w:rPr>
                <w:sz w:val="20"/>
              </w:rPr>
            </w:pPr>
            <w:r>
              <w:rPr>
                <w:sz w:val="20"/>
              </w:rPr>
              <w:t xml:space="preserve"> </w:t>
            </w:r>
            <w:r w:rsidRPr="0095700D">
              <w:rPr>
                <w:sz w:val="20"/>
              </w:rPr>
              <w:t xml:space="preserve">VDES transmissions will effect reception for </w:t>
            </w:r>
            <w:r>
              <w:rPr>
                <w:sz w:val="20"/>
              </w:rPr>
              <w:t xml:space="preserve">  </w:t>
            </w:r>
            <w:r w:rsidRPr="0095700D">
              <w:rPr>
                <w:sz w:val="20"/>
              </w:rPr>
              <w:t>AIS/ASM and this is true for all channel plans;  LR-AIS will not be impacted;  There are available channels for satellite uplink;</w:t>
            </w:r>
          </w:p>
          <w:p w:rsidR="000D486C"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AA1C30" w:rsidRDefault="000D486C" w:rsidP="00412928">
            <w:pPr>
              <w:pStyle w:val="Tabletext"/>
              <w:rPr>
                <w:lang w:val="da-DK"/>
              </w:rPr>
            </w:pPr>
            <w:r w:rsidRPr="00AA1C30">
              <w:rPr>
                <w:lang w:val="da-DK"/>
              </w:rPr>
              <w:t xml:space="preserve">VDE-SAT </w:t>
            </w:r>
            <w:r w:rsidRPr="00261B18">
              <w:sym w:font="Wingdings" w:char="F0E0"/>
            </w:r>
            <w:r w:rsidRPr="00AA1C30">
              <w:rPr>
                <w:lang w:val="da-DK"/>
              </w:rPr>
              <w:t xml:space="preserve"> VDE-Terrestrial interference</w:t>
            </w:r>
          </w:p>
        </w:tc>
        <w:tc>
          <w:tcPr>
            <w:tcW w:w="1820" w:type="pct"/>
            <w:shd w:val="clear" w:color="auto" w:fill="DBE5F1" w:themeFill="accent1" w:themeFillTint="33"/>
            <w:vAlign w:val="center"/>
          </w:tcPr>
          <w:p w:rsidR="000D486C" w:rsidRPr="00261B18" w:rsidRDefault="000D486C" w:rsidP="00412928">
            <w:pPr>
              <w:pStyle w:val="Tabletext"/>
            </w:pPr>
            <w:r>
              <w:t>I</w:t>
            </w:r>
            <w:r w:rsidRPr="00261B18">
              <w:t>nterference</w:t>
            </w:r>
            <w:r>
              <w:t xml:space="preserve"> level</w:t>
            </w:r>
            <w:r w:rsidRPr="00261B18">
              <w:t xml:space="preserve"> </w:t>
            </w:r>
            <w:r>
              <w:t>caused by VDE satellite transmissions</w:t>
            </w:r>
            <w:r w:rsidRPr="00261B18">
              <w:t xml:space="preserve"> </w:t>
            </w:r>
            <w:r>
              <w:t>to</w:t>
            </w:r>
            <w:r w:rsidRPr="00261B18">
              <w:t xml:space="preserve"> VDE</w:t>
            </w:r>
            <w:r>
              <w:t xml:space="preserve"> terrestrial communications</w:t>
            </w:r>
            <w:r w:rsidRPr="00261B18">
              <w:t>. This includes ship2ship, ship2shore and shore2ship.</w:t>
            </w:r>
          </w:p>
        </w:tc>
        <w:tc>
          <w:tcPr>
            <w:tcW w:w="1819" w:type="pct"/>
            <w:shd w:val="clear" w:color="auto" w:fill="DBE5F1" w:themeFill="accent1" w:themeFillTint="33"/>
          </w:tcPr>
          <w:p w:rsidR="000D486C" w:rsidRPr="0095700D" w:rsidRDefault="000D486C" w:rsidP="00412928">
            <w:pPr>
              <w:rPr>
                <w:sz w:val="20"/>
              </w:rPr>
            </w:pPr>
            <w:r w:rsidRPr="0095700D">
              <w:rPr>
                <w:sz w:val="20"/>
              </w:rPr>
              <w:t>Will interference level caused by VDE satellite transmissions perturb VDE terrestrial communications? This includes ship2ship, ship2shore and shore2ship.</w:t>
            </w:r>
          </w:p>
          <w:p w:rsidR="000D486C" w:rsidRPr="0095700D" w:rsidRDefault="000D486C" w:rsidP="00412928">
            <w:pPr>
              <w:ind w:left="720"/>
              <w:rPr>
                <w:sz w:val="20"/>
              </w:rPr>
            </w:pPr>
            <w:r>
              <w:rPr>
                <w:sz w:val="20"/>
              </w:rPr>
              <w:t xml:space="preserve"> </w:t>
            </w:r>
            <w:r w:rsidRPr="0095700D">
              <w:rPr>
                <w:sz w:val="20"/>
              </w:rPr>
              <w:t>Channel plans A and B would be impacted.  Sharing studies must be conducted.  Channel plan C would not be impacted;</w:t>
            </w:r>
          </w:p>
          <w:p w:rsidR="000D486C"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Capacity</w:t>
            </w:r>
          </w:p>
        </w:tc>
        <w:tc>
          <w:tcPr>
            <w:tcW w:w="1820" w:type="pct"/>
            <w:shd w:val="clear" w:color="auto" w:fill="DBE5F1" w:themeFill="accent1" w:themeFillTint="33"/>
            <w:vAlign w:val="center"/>
          </w:tcPr>
          <w:p w:rsidR="000D486C" w:rsidRPr="00261B18" w:rsidRDefault="000D486C" w:rsidP="00412928">
            <w:pPr>
              <w:pStyle w:val="Tabletext"/>
            </w:pPr>
            <w:r w:rsidRPr="00261B18">
              <w:t>Throughput (at system level) achieved by the proposed plan.</w:t>
            </w:r>
          </w:p>
        </w:tc>
        <w:tc>
          <w:tcPr>
            <w:tcW w:w="1819" w:type="pct"/>
            <w:shd w:val="clear" w:color="auto" w:fill="DBE5F1" w:themeFill="accent1" w:themeFillTint="33"/>
          </w:tcPr>
          <w:p w:rsidR="000D486C" w:rsidRPr="00A22D9A" w:rsidRDefault="000D486C" w:rsidP="00412928">
            <w:pPr>
              <w:rPr>
                <w:sz w:val="20"/>
              </w:rPr>
            </w:pPr>
            <w:r w:rsidRPr="00A22D9A">
              <w:rPr>
                <w:sz w:val="20"/>
              </w:rPr>
              <w:t xml:space="preserve">Throughput (at system level) achieved by the proposed plan </w:t>
            </w:r>
          </w:p>
          <w:p w:rsidR="000D486C" w:rsidRDefault="000D486C" w:rsidP="00412928">
            <w:pPr>
              <w:ind w:left="720"/>
            </w:pPr>
            <w:r>
              <w:rPr>
                <w:sz w:val="20"/>
              </w:rPr>
              <w:t xml:space="preserve"> </w:t>
            </w:r>
            <w:r w:rsidRPr="00A22D9A">
              <w:rPr>
                <w:sz w:val="20"/>
              </w:rPr>
              <w:t>Channel plan C is simplex for terrestrial VDE, ship and shore must share but satellite is dedicated;  Channel plans A and B are sem</w:t>
            </w:r>
            <w:r>
              <w:rPr>
                <w:sz w:val="20"/>
              </w:rPr>
              <w:t>i-duplex and ship and shore may have to</w:t>
            </w:r>
            <w:r w:rsidRPr="00A22D9A">
              <w:rPr>
                <w:sz w:val="20"/>
              </w:rPr>
              <w:t xml:space="preserve"> share with</w:t>
            </w:r>
            <w:r>
              <w:t xml:space="preserve"> </w:t>
            </w:r>
            <w:r w:rsidRPr="006871A6">
              <w:rPr>
                <w:sz w:val="20"/>
              </w:rPr>
              <w:t>satellite;</w:t>
            </w:r>
          </w:p>
          <w:p w:rsidR="000D486C" w:rsidRPr="00261B18" w:rsidRDefault="000D486C" w:rsidP="00412928">
            <w:pPr>
              <w:pStyle w:val="Tabletext"/>
            </w:pPr>
          </w:p>
        </w:tc>
      </w:tr>
      <w:tr w:rsidR="000D486C" w:rsidRPr="00261B18" w:rsidTr="00412928">
        <w:trPr>
          <w:jc w:val="center"/>
        </w:trPr>
        <w:tc>
          <w:tcPr>
            <w:tcW w:w="1361" w:type="pct"/>
            <w:shd w:val="clear" w:color="auto" w:fill="8DB3E2" w:themeFill="text2" w:themeFillTint="66"/>
            <w:vAlign w:val="center"/>
          </w:tcPr>
          <w:p w:rsidR="000D486C" w:rsidRPr="00261B18" w:rsidRDefault="000D486C" w:rsidP="00412928">
            <w:pPr>
              <w:pStyle w:val="Tabletext"/>
              <w:spacing w:before="0" w:after="0"/>
              <w:jc w:val="center"/>
              <w:rPr>
                <w:color w:val="FFFFFF" w:themeColor="background1"/>
              </w:rPr>
            </w:pPr>
            <w:r w:rsidRPr="00261B18">
              <w:rPr>
                <w:color w:val="FFFFFF" w:themeColor="background1"/>
              </w:rPr>
              <w:t>Shore Aspects</w:t>
            </w:r>
          </w:p>
        </w:tc>
        <w:tc>
          <w:tcPr>
            <w:tcW w:w="1820" w:type="pct"/>
            <w:shd w:val="clear" w:color="auto" w:fill="8DB3E2" w:themeFill="text2" w:themeFillTint="66"/>
            <w:vAlign w:val="center"/>
          </w:tcPr>
          <w:p w:rsidR="000D486C" w:rsidRPr="00261B18" w:rsidRDefault="000D486C" w:rsidP="00412928">
            <w:pPr>
              <w:pStyle w:val="Tabletext"/>
            </w:pPr>
          </w:p>
        </w:tc>
        <w:tc>
          <w:tcPr>
            <w:tcW w:w="1819" w:type="pct"/>
            <w:shd w:val="clear" w:color="auto" w:fill="8DB3E2" w:themeFill="text2" w:themeFillTint="66"/>
          </w:tcPr>
          <w:p w:rsidR="000D486C" w:rsidRPr="00261B18"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 xml:space="preserve">Shore-VDE </w:t>
            </w:r>
            <w:r w:rsidRPr="00261B18">
              <w:sym w:font="Wingdings" w:char="F0DF"/>
            </w:r>
            <w:r w:rsidRPr="00261B18">
              <w:sym w:font="Wingdings" w:char="F0E0"/>
            </w:r>
            <w:r w:rsidRPr="00261B18">
              <w:t xml:space="preserve"> Shore-AIS interference</w:t>
            </w:r>
          </w:p>
        </w:tc>
        <w:tc>
          <w:tcPr>
            <w:tcW w:w="1820" w:type="pct"/>
            <w:shd w:val="clear" w:color="auto" w:fill="DBE5F1" w:themeFill="accent1" w:themeFillTint="33"/>
            <w:vAlign w:val="center"/>
          </w:tcPr>
          <w:p w:rsidR="000D486C" w:rsidRPr="00261B18" w:rsidRDefault="000D486C" w:rsidP="00412928">
            <w:pPr>
              <w:pStyle w:val="Tabletext"/>
            </w:pPr>
            <w:r w:rsidRPr="00261B18">
              <w:t>Co-site interference between AIS and VDE.</w:t>
            </w:r>
          </w:p>
          <w:p w:rsidR="000D486C" w:rsidRPr="00261B18" w:rsidRDefault="000D486C" w:rsidP="00412928">
            <w:pPr>
              <w:pStyle w:val="Tabletext"/>
            </w:pPr>
            <w:r w:rsidRPr="00261B18">
              <w:t>Ease</w:t>
            </w:r>
            <w:r>
              <w:t xml:space="preserve"> and cost</w:t>
            </w:r>
            <w:r w:rsidRPr="00261B18">
              <w:t xml:space="preserve"> of </w:t>
            </w:r>
            <w:r>
              <w:t>taking countermeasures and adapting</w:t>
            </w:r>
            <w:r w:rsidRPr="00261B18">
              <w:t xml:space="preserve"> shore equipment.</w:t>
            </w:r>
          </w:p>
        </w:tc>
        <w:tc>
          <w:tcPr>
            <w:tcW w:w="1819" w:type="pct"/>
            <w:shd w:val="clear" w:color="auto" w:fill="DBE5F1" w:themeFill="accent1" w:themeFillTint="33"/>
          </w:tcPr>
          <w:p w:rsidR="000D486C" w:rsidRDefault="000D486C" w:rsidP="00412928">
            <w:pPr>
              <w:pStyle w:val="Tabletext"/>
            </w:pPr>
            <w:r w:rsidRPr="00261B18">
              <w:t>Co-site interference between AIS and VDE.</w:t>
            </w:r>
          </w:p>
          <w:p w:rsidR="000D486C" w:rsidRPr="00261B18" w:rsidRDefault="000D486C" w:rsidP="00412928">
            <w:pPr>
              <w:pStyle w:val="Tabletext"/>
              <w:ind w:left="284"/>
            </w:pPr>
            <w:r>
              <w:t>Co-site interference is an issue with all three channel plans and impact is dictated by installation considerations.  Channel plan C simplifies these issues;</w:t>
            </w:r>
          </w:p>
          <w:p w:rsidR="000D486C" w:rsidRPr="00261B18" w:rsidRDefault="000D486C" w:rsidP="00412928">
            <w:pPr>
              <w:pStyle w:val="Tabletext"/>
            </w:pPr>
          </w:p>
        </w:tc>
      </w:tr>
      <w:tr w:rsidR="000D486C" w:rsidRPr="00261B18" w:rsidTr="00412928">
        <w:trPr>
          <w:jc w:val="center"/>
        </w:trPr>
        <w:tc>
          <w:tcPr>
            <w:tcW w:w="1361" w:type="pct"/>
            <w:shd w:val="clear" w:color="auto" w:fill="8DB3E2" w:themeFill="text2" w:themeFillTint="66"/>
            <w:vAlign w:val="center"/>
          </w:tcPr>
          <w:p w:rsidR="000D486C" w:rsidRPr="00261B18" w:rsidRDefault="000D486C" w:rsidP="00412928">
            <w:pPr>
              <w:pStyle w:val="Tabletext"/>
              <w:jc w:val="center"/>
            </w:pPr>
            <w:r w:rsidRPr="00261B18">
              <w:rPr>
                <w:color w:val="FFFFFF" w:themeColor="background1"/>
              </w:rPr>
              <w:t>Ship Aspects</w:t>
            </w:r>
          </w:p>
        </w:tc>
        <w:tc>
          <w:tcPr>
            <w:tcW w:w="1820" w:type="pct"/>
            <w:shd w:val="clear" w:color="auto" w:fill="8DB3E2" w:themeFill="text2" w:themeFillTint="66"/>
            <w:vAlign w:val="center"/>
          </w:tcPr>
          <w:p w:rsidR="000D486C" w:rsidRPr="00261B18" w:rsidRDefault="000D486C" w:rsidP="00412928">
            <w:pPr>
              <w:pStyle w:val="Tabletext"/>
            </w:pPr>
          </w:p>
        </w:tc>
        <w:tc>
          <w:tcPr>
            <w:tcW w:w="1819" w:type="pct"/>
            <w:shd w:val="clear" w:color="auto" w:fill="8DB3E2" w:themeFill="text2" w:themeFillTint="66"/>
          </w:tcPr>
          <w:p w:rsidR="000D486C" w:rsidRPr="00261B18"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 xml:space="preserve">VDE resilience to VHF voice </w:t>
            </w:r>
            <w:r>
              <w:t>communications</w:t>
            </w:r>
          </w:p>
        </w:tc>
        <w:tc>
          <w:tcPr>
            <w:tcW w:w="1820" w:type="pct"/>
            <w:shd w:val="clear" w:color="auto" w:fill="DBE5F1" w:themeFill="accent1" w:themeFillTint="33"/>
            <w:vAlign w:val="center"/>
          </w:tcPr>
          <w:p w:rsidR="000D486C" w:rsidRPr="00261B18" w:rsidRDefault="000D486C" w:rsidP="00412928">
            <w:pPr>
              <w:pStyle w:val="Tabletext"/>
            </w:pPr>
            <w:r w:rsidRPr="00261B18">
              <w:t>Can the VDE withstand VHF voice interference?</w:t>
            </w:r>
          </w:p>
        </w:tc>
        <w:tc>
          <w:tcPr>
            <w:tcW w:w="1819" w:type="pct"/>
            <w:shd w:val="clear" w:color="auto" w:fill="DBE5F1" w:themeFill="accent1" w:themeFillTint="33"/>
          </w:tcPr>
          <w:p w:rsidR="000D486C" w:rsidRDefault="000D486C" w:rsidP="00412928">
            <w:pPr>
              <w:rPr>
                <w:sz w:val="20"/>
              </w:rPr>
            </w:pPr>
            <w:r w:rsidRPr="00C16C93">
              <w:rPr>
                <w:sz w:val="20"/>
              </w:rPr>
              <w:t>Can the VDE withstand VHF voice interference?</w:t>
            </w:r>
          </w:p>
          <w:p w:rsidR="000D486C" w:rsidRPr="00C16C93" w:rsidRDefault="000D486C" w:rsidP="00412928">
            <w:pPr>
              <w:ind w:left="720"/>
              <w:rPr>
                <w:sz w:val="20"/>
              </w:rPr>
            </w:pPr>
            <w:r>
              <w:rPr>
                <w:sz w:val="20"/>
              </w:rPr>
              <w:t xml:space="preserve">Channel plan A and B provide adequate protection;   Channel plan C is subject to heavy </w:t>
            </w:r>
            <w:r>
              <w:rPr>
                <w:sz w:val="20"/>
              </w:rPr>
              <w:lastRenderedPageBreak/>
              <w:t>impact on the VDE from voice;   As long as the duty cycle is kept to a minimum VDE communications should not impact voice;</w:t>
            </w:r>
          </w:p>
          <w:p w:rsidR="000D486C" w:rsidRPr="00261B18"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lastRenderedPageBreak/>
              <w:t xml:space="preserve">AIS </w:t>
            </w:r>
            <w:r w:rsidRPr="00261B18">
              <w:sym w:font="Wingdings" w:char="F0E0"/>
            </w:r>
            <w:r w:rsidRPr="00261B18">
              <w:t xml:space="preserve"> VDE interference</w:t>
            </w:r>
          </w:p>
        </w:tc>
        <w:tc>
          <w:tcPr>
            <w:tcW w:w="1820" w:type="pct"/>
            <w:shd w:val="clear" w:color="auto" w:fill="DBE5F1" w:themeFill="accent1" w:themeFillTint="33"/>
            <w:vAlign w:val="center"/>
          </w:tcPr>
          <w:p w:rsidR="000D486C" w:rsidRPr="00261B18" w:rsidRDefault="000D486C" w:rsidP="00412928">
            <w:pPr>
              <w:pStyle w:val="Tabletext"/>
            </w:pPr>
            <w:r w:rsidRPr="00261B18">
              <w:t>VDE resilience to AIS transmissions.</w:t>
            </w:r>
          </w:p>
        </w:tc>
        <w:tc>
          <w:tcPr>
            <w:tcW w:w="1819" w:type="pct"/>
            <w:shd w:val="clear" w:color="auto" w:fill="DBE5F1" w:themeFill="accent1" w:themeFillTint="33"/>
          </w:tcPr>
          <w:p w:rsidR="000D486C" w:rsidRPr="00261B18" w:rsidRDefault="000D486C" w:rsidP="00412928">
            <w:pPr>
              <w:pStyle w:val="Tabletext"/>
              <w:ind w:left="284"/>
            </w:pPr>
            <w:r>
              <w:t>All channel plans must coordinate between AIS and VDE;</w:t>
            </w: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 xml:space="preserve">VDE ship2ship </w:t>
            </w:r>
            <w:r>
              <w:t xml:space="preserve">/ ship2shore </w:t>
            </w:r>
            <w:r w:rsidRPr="00261B18">
              <w:sym w:font="Wingdings" w:char="F0E0"/>
            </w:r>
            <w:r w:rsidRPr="00261B18">
              <w:t xml:space="preserve"> AIS interference</w:t>
            </w:r>
          </w:p>
        </w:tc>
        <w:tc>
          <w:tcPr>
            <w:tcW w:w="1820" w:type="pct"/>
            <w:shd w:val="clear" w:color="auto" w:fill="DBE5F1" w:themeFill="accent1" w:themeFillTint="33"/>
            <w:vAlign w:val="center"/>
          </w:tcPr>
          <w:p w:rsidR="000D486C" w:rsidRPr="00261B18" w:rsidRDefault="000D486C" w:rsidP="00412928">
            <w:pPr>
              <w:pStyle w:val="Tabletext"/>
            </w:pPr>
            <w:r w:rsidRPr="00261B18">
              <w:t>Impact of VDE communications to the AIS probability of detection and capacity.</w:t>
            </w:r>
          </w:p>
        </w:tc>
        <w:tc>
          <w:tcPr>
            <w:tcW w:w="1819" w:type="pct"/>
            <w:shd w:val="clear" w:color="auto" w:fill="DBE5F1" w:themeFill="accent1" w:themeFillTint="33"/>
          </w:tcPr>
          <w:p w:rsidR="000D486C" w:rsidRDefault="000D486C" w:rsidP="00412928">
            <w:r w:rsidRPr="00951AC8">
              <w:rPr>
                <w:sz w:val="20"/>
              </w:rPr>
              <w:t>Impact of VDE communications to the AIS probability of detection and capacity</w:t>
            </w:r>
          </w:p>
          <w:p w:rsidR="000D486C" w:rsidRDefault="000D486C" w:rsidP="00412928">
            <w:pPr>
              <w:pStyle w:val="Tabletext"/>
              <w:ind w:left="567"/>
            </w:pPr>
            <w:r>
              <w:t xml:space="preserve">Channel Plan A:  No; </w:t>
            </w:r>
          </w:p>
          <w:p w:rsidR="000D486C" w:rsidRDefault="000D486C" w:rsidP="00412928">
            <w:pPr>
              <w:pStyle w:val="Tabletext"/>
              <w:ind w:left="567"/>
            </w:pPr>
            <w:r>
              <w:t xml:space="preserve">  Channel Plan B:  No; </w:t>
            </w:r>
          </w:p>
          <w:p w:rsidR="000D486C" w:rsidRPr="00261B18" w:rsidRDefault="000D486C" w:rsidP="00412928">
            <w:pPr>
              <w:pStyle w:val="Tabletext"/>
              <w:ind w:left="567"/>
            </w:pPr>
            <w:r>
              <w:t xml:space="preserve">  Channel Plan C:  No;</w:t>
            </w: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
            </w:pPr>
            <w:r w:rsidRPr="00261B18">
              <w:t xml:space="preserve">VDE ship2ship </w:t>
            </w:r>
            <w:r w:rsidRPr="00261B18">
              <w:sym w:font="Wingdings" w:char="F0E0"/>
            </w:r>
            <w:r w:rsidRPr="00261B18">
              <w:t xml:space="preserve"> VDE-SAT downlink interference</w:t>
            </w:r>
          </w:p>
        </w:tc>
        <w:tc>
          <w:tcPr>
            <w:tcW w:w="1820" w:type="pct"/>
            <w:shd w:val="clear" w:color="auto" w:fill="DBE5F1" w:themeFill="accent1" w:themeFillTint="33"/>
            <w:vAlign w:val="center"/>
          </w:tcPr>
          <w:p w:rsidR="000D486C" w:rsidRPr="00261B18" w:rsidRDefault="000D486C" w:rsidP="00412928">
            <w:pPr>
              <w:pStyle w:val="Tabletext"/>
            </w:pPr>
            <w:r w:rsidRPr="00261B18">
              <w:t>Amount of VDE-SAT downlink capacity that is taken away by VDE ship2ship communications.</w:t>
            </w:r>
          </w:p>
        </w:tc>
        <w:tc>
          <w:tcPr>
            <w:tcW w:w="1819" w:type="pct"/>
            <w:shd w:val="clear" w:color="auto" w:fill="DBE5F1" w:themeFill="accent1" w:themeFillTint="33"/>
          </w:tcPr>
          <w:p w:rsidR="000D486C" w:rsidRPr="00951AC8" w:rsidRDefault="000D486C" w:rsidP="00412928">
            <w:pPr>
              <w:rPr>
                <w:sz w:val="20"/>
              </w:rPr>
            </w:pPr>
            <w:r w:rsidRPr="00951AC8">
              <w:rPr>
                <w:sz w:val="20"/>
              </w:rPr>
              <w:t>Amount of VDE-SAT downlink capacity that is taken away by VDE ship2ship communications.</w:t>
            </w:r>
          </w:p>
          <w:p w:rsidR="000D486C" w:rsidRPr="00951AC8" w:rsidRDefault="000D486C" w:rsidP="00412928">
            <w:pPr>
              <w:ind w:left="720"/>
              <w:rPr>
                <w:sz w:val="20"/>
              </w:rPr>
            </w:pPr>
            <w:r>
              <w:rPr>
                <w:sz w:val="20"/>
              </w:rPr>
              <w:t xml:space="preserve">Channel plan A may </w:t>
            </w:r>
            <w:r w:rsidRPr="00951AC8">
              <w:rPr>
                <w:sz w:val="20"/>
              </w:rPr>
              <w:t xml:space="preserve">not accommodate sat downlink during ship2ship </w:t>
            </w:r>
            <w:proofErr w:type="spellStart"/>
            <w:r w:rsidRPr="00951AC8">
              <w:rPr>
                <w:sz w:val="20"/>
              </w:rPr>
              <w:t>comms</w:t>
            </w:r>
            <w:proofErr w:type="spellEnd"/>
            <w:r w:rsidRPr="00951AC8">
              <w:rPr>
                <w:sz w:val="20"/>
              </w:rPr>
              <w:t>;  Channe</w:t>
            </w:r>
            <w:r>
              <w:rPr>
                <w:sz w:val="20"/>
              </w:rPr>
              <w:t>l plans B&amp;C</w:t>
            </w:r>
            <w:r w:rsidRPr="00951AC8">
              <w:rPr>
                <w:sz w:val="20"/>
              </w:rPr>
              <w:t xml:space="preserve"> sat downlink does not impact ship2ship </w:t>
            </w:r>
            <w:proofErr w:type="spellStart"/>
            <w:r w:rsidRPr="00951AC8">
              <w:rPr>
                <w:sz w:val="20"/>
              </w:rPr>
              <w:t>comms</w:t>
            </w:r>
            <w:proofErr w:type="spellEnd"/>
            <w:r w:rsidRPr="00951AC8">
              <w:rPr>
                <w:sz w:val="20"/>
              </w:rPr>
              <w:t>;</w:t>
            </w:r>
          </w:p>
          <w:p w:rsidR="000D486C" w:rsidRPr="00261B18" w:rsidRDefault="000D486C" w:rsidP="00412928">
            <w:pPr>
              <w:pStyle w:val="Tabletext"/>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S5"/>
            </w:pPr>
            <w:r w:rsidRPr="00261B18">
              <w:t>VDE-SAT uplink impact on AIS</w:t>
            </w:r>
          </w:p>
        </w:tc>
        <w:tc>
          <w:tcPr>
            <w:tcW w:w="1820" w:type="pct"/>
            <w:shd w:val="clear" w:color="auto" w:fill="DBE5F1" w:themeFill="accent1" w:themeFillTint="33"/>
            <w:vAlign w:val="center"/>
          </w:tcPr>
          <w:p w:rsidR="000D486C" w:rsidRPr="00261B18" w:rsidRDefault="000D486C" w:rsidP="00412928">
            <w:pPr>
              <w:pStyle w:val="TableTextS5"/>
            </w:pPr>
            <w:r w:rsidRPr="00261B18">
              <w:t xml:space="preserve">Impact of VDE-SAT uplink </w:t>
            </w:r>
            <w:r>
              <w:t xml:space="preserve">to </w:t>
            </w:r>
            <w:r w:rsidRPr="00261B18">
              <w:t>AIS probability of detection and capacity.</w:t>
            </w:r>
          </w:p>
        </w:tc>
        <w:tc>
          <w:tcPr>
            <w:tcW w:w="1819" w:type="pct"/>
            <w:shd w:val="clear" w:color="auto" w:fill="DBE5F1" w:themeFill="accent1" w:themeFillTint="33"/>
          </w:tcPr>
          <w:p w:rsidR="000D486C" w:rsidRPr="00261B18" w:rsidRDefault="000D486C" w:rsidP="00412928">
            <w:pPr>
              <w:pStyle w:val="TableTextS5"/>
              <w:ind w:left="567"/>
            </w:pPr>
            <w:r>
              <w:t xml:space="preserve">Sat uplink and AIS probability of detection may only be effected by VDE-SAT downlink on channel plans A&amp;B;  </w:t>
            </w: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S5"/>
            </w:pPr>
            <w:r w:rsidRPr="00261B18">
              <w:t>VDES box complexity</w:t>
            </w:r>
          </w:p>
        </w:tc>
        <w:tc>
          <w:tcPr>
            <w:tcW w:w="1820" w:type="pct"/>
            <w:shd w:val="clear" w:color="auto" w:fill="DBE5F1" w:themeFill="accent1" w:themeFillTint="33"/>
            <w:vAlign w:val="center"/>
          </w:tcPr>
          <w:p w:rsidR="000D486C" w:rsidRPr="00261B18" w:rsidRDefault="000D486C" w:rsidP="00412928">
            <w:pPr>
              <w:pStyle w:val="TableTextS5"/>
            </w:pPr>
            <w:r w:rsidRPr="00261B18">
              <w:t>Design, testing and certification.</w:t>
            </w:r>
          </w:p>
        </w:tc>
        <w:tc>
          <w:tcPr>
            <w:tcW w:w="1819" w:type="pct"/>
            <w:shd w:val="clear" w:color="auto" w:fill="DBE5F1" w:themeFill="accent1" w:themeFillTint="33"/>
          </w:tcPr>
          <w:p w:rsidR="000D486C" w:rsidRPr="00261B18" w:rsidRDefault="000D486C" w:rsidP="00412928">
            <w:pPr>
              <w:pStyle w:val="TableTextS5"/>
              <w:ind w:left="567"/>
            </w:pPr>
            <w:r>
              <w:t>Channel plans A&amp;B may require sharing with satellite – if required, this will drive complexity.</w:t>
            </w:r>
          </w:p>
        </w:tc>
      </w:tr>
      <w:tr w:rsidR="000D486C" w:rsidRPr="00261B18" w:rsidTr="00412928">
        <w:trPr>
          <w:jc w:val="center"/>
        </w:trPr>
        <w:tc>
          <w:tcPr>
            <w:tcW w:w="1361" w:type="pct"/>
            <w:shd w:val="clear" w:color="auto" w:fill="8DB3E2" w:themeFill="text2" w:themeFillTint="66"/>
            <w:vAlign w:val="center"/>
          </w:tcPr>
          <w:p w:rsidR="000D486C" w:rsidRPr="00261B18" w:rsidRDefault="000D486C" w:rsidP="00412928">
            <w:pPr>
              <w:pStyle w:val="TableTextS5"/>
              <w:jc w:val="center"/>
            </w:pPr>
            <w:r w:rsidRPr="00261B18">
              <w:rPr>
                <w:color w:val="FFFFFF" w:themeColor="background1"/>
              </w:rPr>
              <w:t>Satellite Aspects</w:t>
            </w:r>
          </w:p>
        </w:tc>
        <w:tc>
          <w:tcPr>
            <w:tcW w:w="1820" w:type="pct"/>
            <w:shd w:val="clear" w:color="auto" w:fill="8DB3E2" w:themeFill="text2" w:themeFillTint="66"/>
            <w:vAlign w:val="center"/>
          </w:tcPr>
          <w:p w:rsidR="000D486C" w:rsidRPr="00261B18" w:rsidRDefault="000D486C" w:rsidP="00412928">
            <w:pPr>
              <w:pStyle w:val="TableTextS5"/>
            </w:pPr>
          </w:p>
        </w:tc>
        <w:tc>
          <w:tcPr>
            <w:tcW w:w="1819" w:type="pct"/>
            <w:shd w:val="clear" w:color="auto" w:fill="8DB3E2" w:themeFill="text2" w:themeFillTint="66"/>
          </w:tcPr>
          <w:p w:rsidR="000D486C" w:rsidRPr="00261B18" w:rsidRDefault="000D486C" w:rsidP="00412928">
            <w:pPr>
              <w:pStyle w:val="TableTextS5"/>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S5"/>
            </w:pPr>
            <w:r w:rsidRPr="00261B18">
              <w:t>Is it possible to combine SAT-AIS and VDE</w:t>
            </w:r>
            <w:r>
              <w:t xml:space="preserve"> in the same satellite?</w:t>
            </w:r>
          </w:p>
        </w:tc>
        <w:tc>
          <w:tcPr>
            <w:tcW w:w="1820" w:type="pct"/>
            <w:shd w:val="clear" w:color="auto" w:fill="DBE5F1" w:themeFill="accent1" w:themeFillTint="33"/>
            <w:vAlign w:val="center"/>
          </w:tcPr>
          <w:p w:rsidR="000D486C" w:rsidRPr="00261B18" w:rsidRDefault="000D486C" w:rsidP="00412928">
            <w:pPr>
              <w:pStyle w:val="TableTextS5"/>
            </w:pPr>
          </w:p>
        </w:tc>
        <w:tc>
          <w:tcPr>
            <w:tcW w:w="1819" w:type="pct"/>
            <w:shd w:val="clear" w:color="auto" w:fill="DBE5F1" w:themeFill="accent1" w:themeFillTint="33"/>
          </w:tcPr>
          <w:p w:rsidR="000D486C" w:rsidRPr="00261B18" w:rsidRDefault="000D486C" w:rsidP="00412928">
            <w:pPr>
              <w:pStyle w:val="TableTextS5"/>
              <w:ind w:left="720"/>
            </w:pPr>
            <w:r>
              <w:t>None of the channel plans support simultaneous operation with AIS1/2 however, it would be possible for LR-AIS (AIS3/4);</w:t>
            </w:r>
          </w:p>
        </w:tc>
      </w:tr>
      <w:tr w:rsidR="000D486C" w:rsidRPr="00261B18" w:rsidTr="00412928">
        <w:trPr>
          <w:jc w:val="center"/>
        </w:trPr>
        <w:tc>
          <w:tcPr>
            <w:tcW w:w="1361" w:type="pct"/>
            <w:shd w:val="clear" w:color="auto" w:fill="8DB3E2" w:themeFill="text2" w:themeFillTint="66"/>
            <w:vAlign w:val="center"/>
          </w:tcPr>
          <w:p w:rsidR="000D486C" w:rsidRPr="00261B18" w:rsidRDefault="000D486C" w:rsidP="00412928">
            <w:pPr>
              <w:pStyle w:val="TableTextS5"/>
              <w:jc w:val="center"/>
            </w:pPr>
            <w:r w:rsidRPr="00261B18">
              <w:rPr>
                <w:color w:val="FFFFFF" w:themeColor="background1"/>
              </w:rPr>
              <w:t>Commercial Aspects</w:t>
            </w:r>
          </w:p>
        </w:tc>
        <w:tc>
          <w:tcPr>
            <w:tcW w:w="1820" w:type="pct"/>
            <w:shd w:val="clear" w:color="auto" w:fill="8DB3E2" w:themeFill="text2" w:themeFillTint="66"/>
            <w:vAlign w:val="center"/>
          </w:tcPr>
          <w:p w:rsidR="000D486C" w:rsidRPr="00261B18" w:rsidRDefault="000D486C" w:rsidP="00412928">
            <w:pPr>
              <w:pStyle w:val="TableTextS5"/>
            </w:pPr>
          </w:p>
        </w:tc>
        <w:tc>
          <w:tcPr>
            <w:tcW w:w="1819" w:type="pct"/>
            <w:shd w:val="clear" w:color="auto" w:fill="8DB3E2" w:themeFill="text2" w:themeFillTint="66"/>
          </w:tcPr>
          <w:p w:rsidR="000D486C" w:rsidRPr="00261B18" w:rsidRDefault="000D486C" w:rsidP="00412928">
            <w:pPr>
              <w:pStyle w:val="TableTextS5"/>
            </w:pP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S5"/>
            </w:pPr>
            <w:r w:rsidRPr="00261B18">
              <w:t>Ease of migration from existing shipboard equipment</w:t>
            </w:r>
          </w:p>
        </w:tc>
        <w:tc>
          <w:tcPr>
            <w:tcW w:w="1820" w:type="pct"/>
            <w:shd w:val="clear" w:color="auto" w:fill="DBE5F1" w:themeFill="accent1" w:themeFillTint="33"/>
            <w:vAlign w:val="center"/>
          </w:tcPr>
          <w:p w:rsidR="000D486C" w:rsidRDefault="000D486C" w:rsidP="00412928">
            <w:pPr>
              <w:pStyle w:val="TableTextS5"/>
            </w:pPr>
            <w:r>
              <w:t>Is it necessary to interface the VDE box and the AIS box?</w:t>
            </w:r>
          </w:p>
          <w:p w:rsidR="000D486C" w:rsidRPr="00261B18" w:rsidRDefault="000D486C" w:rsidP="00412928">
            <w:pPr>
              <w:pStyle w:val="TableTextS5"/>
            </w:pPr>
            <w:r>
              <w:t>Is it necessary to replace the existing AIS box?</w:t>
            </w:r>
          </w:p>
        </w:tc>
        <w:tc>
          <w:tcPr>
            <w:tcW w:w="1819" w:type="pct"/>
            <w:shd w:val="clear" w:color="auto" w:fill="DBE5F1" w:themeFill="accent1" w:themeFillTint="33"/>
          </w:tcPr>
          <w:p w:rsidR="000D486C" w:rsidRDefault="000D486C" w:rsidP="00412928">
            <w:pPr>
              <w:rPr>
                <w:sz w:val="20"/>
              </w:rPr>
            </w:pPr>
            <w:r w:rsidRPr="00C16C93">
              <w:rPr>
                <w:sz w:val="20"/>
              </w:rPr>
              <w:t>Is it necessary to interface the VDE box and the AIS box?</w:t>
            </w:r>
          </w:p>
          <w:p w:rsidR="000D486C" w:rsidRPr="00C16C93" w:rsidRDefault="000D486C" w:rsidP="00412928">
            <w:pPr>
              <w:ind w:left="720"/>
              <w:rPr>
                <w:sz w:val="20"/>
              </w:rPr>
            </w:pPr>
            <w:r>
              <w:rPr>
                <w:sz w:val="20"/>
              </w:rPr>
              <w:t>All three channel plans require an interface between VDE and AIS/ASM;</w:t>
            </w:r>
          </w:p>
          <w:p w:rsidR="000D486C" w:rsidRDefault="000D486C" w:rsidP="00412928">
            <w:pPr>
              <w:rPr>
                <w:sz w:val="20"/>
              </w:rPr>
            </w:pPr>
            <w:r w:rsidRPr="00C16C93">
              <w:rPr>
                <w:sz w:val="20"/>
              </w:rPr>
              <w:t>Is it necessary to replace the existing AIS box?</w:t>
            </w:r>
          </w:p>
          <w:p w:rsidR="000D486C" w:rsidRDefault="000D486C" w:rsidP="00412928">
            <w:pPr>
              <w:pStyle w:val="TableTextS5"/>
              <w:ind w:left="720"/>
            </w:pPr>
            <w:r>
              <w:t xml:space="preserve">This is not required for any of the three channel plans;   </w:t>
            </w:r>
          </w:p>
        </w:tc>
      </w:tr>
      <w:tr w:rsidR="000D486C" w:rsidRPr="00261B18" w:rsidTr="00412928">
        <w:trPr>
          <w:jc w:val="center"/>
        </w:trPr>
        <w:tc>
          <w:tcPr>
            <w:tcW w:w="1361" w:type="pct"/>
            <w:shd w:val="clear" w:color="auto" w:fill="DBE5F1" w:themeFill="accent1" w:themeFillTint="33"/>
            <w:vAlign w:val="center"/>
          </w:tcPr>
          <w:p w:rsidR="000D486C" w:rsidRPr="00261B18" w:rsidRDefault="000D486C" w:rsidP="00412928">
            <w:pPr>
              <w:pStyle w:val="TableTextS5"/>
            </w:pPr>
            <w:r>
              <w:t>Modularity</w:t>
            </w:r>
          </w:p>
        </w:tc>
        <w:tc>
          <w:tcPr>
            <w:tcW w:w="1820" w:type="pct"/>
            <w:shd w:val="clear" w:color="auto" w:fill="DBE5F1" w:themeFill="accent1" w:themeFillTint="33"/>
            <w:vAlign w:val="center"/>
          </w:tcPr>
          <w:p w:rsidR="000D486C" w:rsidRPr="00261B18" w:rsidRDefault="000D486C" w:rsidP="00412928">
            <w:pPr>
              <w:pStyle w:val="TableTextS5"/>
            </w:pPr>
            <w:r>
              <w:t xml:space="preserve">Does the proposed channel plan/system allow product diversity? </w:t>
            </w:r>
            <w:proofErr w:type="gramStart"/>
            <w:r w:rsidRPr="00261B18">
              <w:t>i.e</w:t>
            </w:r>
            <w:proofErr w:type="gramEnd"/>
            <w:r w:rsidRPr="00261B18">
              <w:t>.</w:t>
            </w:r>
            <w:r>
              <w:t xml:space="preserve"> does it</w:t>
            </w:r>
            <w:r w:rsidRPr="00261B18">
              <w:t xml:space="preserve"> allow to </w:t>
            </w:r>
            <w:r>
              <w:t xml:space="preserve">have and </w:t>
            </w:r>
            <w:r w:rsidRPr="00261B18">
              <w:t xml:space="preserve">sell a VDE box separately </w:t>
            </w:r>
            <w:r>
              <w:t xml:space="preserve">from the AIS box? </w:t>
            </w:r>
            <w:r>
              <w:br/>
            </w:r>
            <w:proofErr w:type="gramStart"/>
            <w:r w:rsidRPr="00261B18">
              <w:t>or</w:t>
            </w:r>
            <w:proofErr w:type="gramEnd"/>
            <w:r w:rsidRPr="00261B18">
              <w:t xml:space="preserve"> a VDE</w:t>
            </w:r>
            <w:r>
              <w:t>S</w:t>
            </w:r>
            <w:r w:rsidRPr="00261B18">
              <w:t xml:space="preserve"> Rx-only unit</w:t>
            </w:r>
            <w:r>
              <w:t>?</w:t>
            </w:r>
          </w:p>
        </w:tc>
        <w:tc>
          <w:tcPr>
            <w:tcW w:w="1819" w:type="pct"/>
            <w:shd w:val="clear" w:color="auto" w:fill="DBE5F1" w:themeFill="accent1" w:themeFillTint="33"/>
          </w:tcPr>
          <w:p w:rsidR="000D486C" w:rsidRDefault="000D486C" w:rsidP="00412928">
            <w:pPr>
              <w:rPr>
                <w:sz w:val="20"/>
              </w:rPr>
            </w:pPr>
            <w:r w:rsidRPr="00C16C93">
              <w:rPr>
                <w:sz w:val="20"/>
              </w:rPr>
              <w:t xml:space="preserve">Does the proposed channel plan/system allow product diversity? </w:t>
            </w:r>
            <w:proofErr w:type="gramStart"/>
            <w:r w:rsidRPr="00C16C93">
              <w:rPr>
                <w:sz w:val="20"/>
              </w:rPr>
              <w:t>i.e</w:t>
            </w:r>
            <w:proofErr w:type="gramEnd"/>
            <w:r w:rsidRPr="00C16C93">
              <w:rPr>
                <w:sz w:val="20"/>
              </w:rPr>
              <w:t xml:space="preserve">. does it allow to have and sell a VDE box separately from the AIS box? </w:t>
            </w:r>
            <w:r w:rsidRPr="00C16C93">
              <w:rPr>
                <w:sz w:val="20"/>
              </w:rPr>
              <w:br/>
            </w:r>
            <w:proofErr w:type="gramStart"/>
            <w:r w:rsidRPr="00C16C93">
              <w:rPr>
                <w:sz w:val="20"/>
              </w:rPr>
              <w:t>or</w:t>
            </w:r>
            <w:proofErr w:type="gramEnd"/>
            <w:r w:rsidRPr="00C16C93">
              <w:rPr>
                <w:sz w:val="20"/>
              </w:rPr>
              <w:t xml:space="preserve"> a VDES Rx-only unit?</w:t>
            </w:r>
          </w:p>
          <w:p w:rsidR="000D486C" w:rsidRDefault="000D486C" w:rsidP="00412928">
            <w:pPr>
              <w:ind w:left="720"/>
              <w:rPr>
                <w:sz w:val="20"/>
              </w:rPr>
            </w:pPr>
            <w:r>
              <w:rPr>
                <w:sz w:val="20"/>
              </w:rPr>
              <w:lastRenderedPageBreak/>
              <w:t xml:space="preserve">   All three channel plans support diversity.</w:t>
            </w:r>
          </w:p>
          <w:p w:rsidR="000D486C" w:rsidRDefault="000D486C" w:rsidP="00412928">
            <w:pPr>
              <w:pStyle w:val="TableTextS5"/>
            </w:pPr>
          </w:p>
        </w:tc>
      </w:tr>
    </w:tbl>
    <w:p w:rsidR="00AD6F32" w:rsidRDefault="00AD6F32" w:rsidP="000D486C">
      <w:pPr>
        <w:rPr>
          <w:lang w:val="en-US" w:eastAsia="zh-CN"/>
        </w:rPr>
      </w:pPr>
    </w:p>
    <w:p w:rsidR="00AD6F32" w:rsidRDefault="00AD6F32">
      <w:pPr>
        <w:tabs>
          <w:tab w:val="clear" w:pos="1134"/>
          <w:tab w:val="clear" w:pos="1871"/>
          <w:tab w:val="clear" w:pos="2268"/>
        </w:tabs>
        <w:overflowPunct/>
        <w:autoSpaceDE/>
        <w:autoSpaceDN/>
        <w:adjustRightInd/>
        <w:spacing w:before="0"/>
        <w:textAlignment w:val="auto"/>
        <w:rPr>
          <w:lang w:val="en-US" w:eastAsia="zh-CN"/>
        </w:rPr>
      </w:pPr>
      <w:r>
        <w:rPr>
          <w:lang w:val="en-US" w:eastAsia="zh-CN"/>
        </w:rPr>
        <w:br w:type="page"/>
      </w:r>
    </w:p>
    <w:p w:rsidR="000D486C" w:rsidRDefault="000D486C" w:rsidP="000D486C">
      <w:pPr>
        <w:rPr>
          <w:lang w:val="en-US" w:eastAsia="zh-CN"/>
        </w:rPr>
      </w:pPr>
    </w:p>
    <w:p w:rsidR="000D486C" w:rsidRDefault="000D486C" w:rsidP="006E1850">
      <w:pPr>
        <w:jc w:val="center"/>
        <w:rPr>
          <w:lang w:val="en-US" w:eastAsia="zh-CN"/>
        </w:rPr>
      </w:pPr>
      <w:r>
        <w:rPr>
          <w:lang w:val="en-US" w:eastAsia="zh-CN"/>
        </w:rPr>
        <w:t>ANNEX 2</w:t>
      </w:r>
    </w:p>
    <w:p w:rsidR="00AD6F32" w:rsidRDefault="00AD6F32" w:rsidP="006E1850">
      <w:pPr>
        <w:jc w:val="center"/>
        <w:rPr>
          <w:lang w:val="en-US" w:eastAsia="zh-CN"/>
        </w:rPr>
      </w:pPr>
      <w:r>
        <w:rPr>
          <w:lang w:val="en-US" w:eastAsia="zh-CN"/>
        </w:rPr>
        <w:t>CHANNEL PLAN PERFORMANCE AGAINST USE CASES</w:t>
      </w:r>
    </w:p>
    <w:p w:rsidR="00AD6F32" w:rsidRDefault="00AD6F32" w:rsidP="006E1850">
      <w:pPr>
        <w:jc w:val="center"/>
        <w:rPr>
          <w:lang w:val="en-US" w:eastAsia="zh-CN"/>
        </w:rPr>
      </w:pPr>
    </w:p>
    <w:p w:rsidR="00AD6F32" w:rsidRDefault="00AD6F32" w:rsidP="006E1850">
      <w:pPr>
        <w:jc w:val="center"/>
        <w:rPr>
          <w:lang w:val="en-US" w:eastAsia="zh-CN"/>
        </w:rPr>
      </w:pPr>
    </w:p>
    <w:p w:rsidR="000D486C" w:rsidRDefault="007A31D5" w:rsidP="006E1850">
      <w:pPr>
        <w:jc w:val="center"/>
        <w:rPr>
          <w:lang w:val="en-US" w:eastAsia="zh-CN"/>
        </w:rPr>
      </w:pPr>
      <w:r w:rsidRPr="007A31D5">
        <w:rPr>
          <w:noProof/>
          <w:lang w:val="en-IE" w:eastAsia="en-IE"/>
        </w:rPr>
        <w:drawing>
          <wp:inline distT="0" distB="0" distL="0" distR="0" wp14:anchorId="53E528A8" wp14:editId="1955A115">
            <wp:extent cx="6120765" cy="466605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4666054"/>
                    </a:xfrm>
                    <a:prstGeom prst="rect">
                      <a:avLst/>
                    </a:prstGeom>
                    <a:noFill/>
                    <a:ln>
                      <a:noFill/>
                    </a:ln>
                  </pic:spPr>
                </pic:pic>
              </a:graphicData>
            </a:graphic>
          </wp:inline>
        </w:drawing>
      </w:r>
    </w:p>
    <w:p w:rsidR="006C5A1A" w:rsidRDefault="006C5A1A" w:rsidP="006E1850">
      <w:pPr>
        <w:jc w:val="center"/>
        <w:rPr>
          <w:lang w:val="en-US" w:eastAsia="zh-CN"/>
        </w:rPr>
      </w:pPr>
    </w:p>
    <w:p w:rsidR="006C5A1A" w:rsidRDefault="006C5A1A" w:rsidP="006E1850">
      <w:pPr>
        <w:jc w:val="center"/>
        <w:rPr>
          <w:lang w:val="en-US" w:eastAsia="zh-CN"/>
        </w:rPr>
      </w:pPr>
      <w:r w:rsidRPr="006C5A1A">
        <w:rPr>
          <w:noProof/>
          <w:lang w:val="en-IE" w:eastAsia="en-IE"/>
        </w:rPr>
        <w:lastRenderedPageBreak/>
        <w:drawing>
          <wp:inline distT="0" distB="0" distL="0" distR="0" wp14:anchorId="3D0BE8DD" wp14:editId="0CF13C9B">
            <wp:extent cx="6120765" cy="5154004"/>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5154004"/>
                    </a:xfrm>
                    <a:prstGeom prst="rect">
                      <a:avLst/>
                    </a:prstGeom>
                    <a:noFill/>
                    <a:ln>
                      <a:noFill/>
                    </a:ln>
                  </pic:spPr>
                </pic:pic>
              </a:graphicData>
            </a:graphic>
          </wp:inline>
        </w:drawing>
      </w:r>
    </w:p>
    <w:p w:rsidR="006C5A1A" w:rsidRDefault="006C5A1A" w:rsidP="006E1850">
      <w:pPr>
        <w:jc w:val="center"/>
        <w:rPr>
          <w:lang w:val="en-US" w:eastAsia="zh-CN"/>
        </w:rPr>
      </w:pPr>
    </w:p>
    <w:p w:rsidR="006C5A1A" w:rsidRDefault="006C5A1A" w:rsidP="006E1850">
      <w:pPr>
        <w:jc w:val="center"/>
        <w:rPr>
          <w:lang w:val="en-US" w:eastAsia="zh-CN"/>
        </w:rPr>
      </w:pPr>
      <w:r w:rsidRPr="006C5A1A">
        <w:rPr>
          <w:noProof/>
          <w:lang w:val="en-IE" w:eastAsia="en-IE"/>
        </w:rPr>
        <w:lastRenderedPageBreak/>
        <w:drawing>
          <wp:inline distT="0" distB="0" distL="0" distR="0" wp14:anchorId="5452AE29" wp14:editId="02F046CC">
            <wp:extent cx="6120765" cy="780717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7807175"/>
                    </a:xfrm>
                    <a:prstGeom prst="rect">
                      <a:avLst/>
                    </a:prstGeom>
                    <a:noFill/>
                    <a:ln>
                      <a:noFill/>
                    </a:ln>
                  </pic:spPr>
                </pic:pic>
              </a:graphicData>
            </a:graphic>
          </wp:inline>
        </w:drawing>
      </w:r>
    </w:p>
    <w:p w:rsidR="006C5A1A" w:rsidRDefault="006C5A1A" w:rsidP="006E1850">
      <w:pPr>
        <w:jc w:val="center"/>
        <w:rPr>
          <w:lang w:val="en-US" w:eastAsia="zh-CN"/>
        </w:rPr>
      </w:pPr>
    </w:p>
    <w:p w:rsidR="006C5A1A" w:rsidRDefault="006C5A1A" w:rsidP="006E1850">
      <w:pPr>
        <w:jc w:val="center"/>
        <w:rPr>
          <w:lang w:val="en-US" w:eastAsia="zh-CN"/>
        </w:rPr>
      </w:pPr>
      <w:r w:rsidRPr="006C5A1A">
        <w:rPr>
          <w:noProof/>
          <w:lang w:val="en-IE" w:eastAsia="en-IE"/>
        </w:rPr>
        <w:lastRenderedPageBreak/>
        <w:drawing>
          <wp:inline distT="0" distB="0" distL="0" distR="0" wp14:anchorId="48DCF6AB" wp14:editId="5FEFD64F">
            <wp:extent cx="6120765" cy="7807175"/>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7807175"/>
                    </a:xfrm>
                    <a:prstGeom prst="rect">
                      <a:avLst/>
                    </a:prstGeom>
                    <a:noFill/>
                    <a:ln>
                      <a:noFill/>
                    </a:ln>
                  </pic:spPr>
                </pic:pic>
              </a:graphicData>
            </a:graphic>
          </wp:inline>
        </w:drawing>
      </w:r>
    </w:p>
    <w:p w:rsidR="006C5A1A" w:rsidRDefault="006C5A1A" w:rsidP="006E1850">
      <w:pPr>
        <w:jc w:val="center"/>
        <w:rPr>
          <w:lang w:val="en-US" w:eastAsia="zh-CN"/>
        </w:rPr>
      </w:pPr>
    </w:p>
    <w:p w:rsidR="006C5A1A" w:rsidRDefault="006C5A1A" w:rsidP="006E1850">
      <w:pPr>
        <w:jc w:val="center"/>
        <w:rPr>
          <w:lang w:val="en-US" w:eastAsia="zh-CN"/>
        </w:rPr>
      </w:pPr>
      <w:r w:rsidRPr="006C5A1A">
        <w:rPr>
          <w:noProof/>
          <w:lang w:val="en-IE" w:eastAsia="en-IE"/>
        </w:rPr>
        <w:lastRenderedPageBreak/>
        <w:drawing>
          <wp:inline distT="0" distB="0" distL="0" distR="0" wp14:anchorId="0B37EE05" wp14:editId="7BB2EDC9">
            <wp:extent cx="6120765" cy="6000307"/>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6000307"/>
                    </a:xfrm>
                    <a:prstGeom prst="rect">
                      <a:avLst/>
                    </a:prstGeom>
                    <a:noFill/>
                    <a:ln>
                      <a:noFill/>
                    </a:ln>
                  </pic:spPr>
                </pic:pic>
              </a:graphicData>
            </a:graphic>
          </wp:inline>
        </w:drawing>
      </w:r>
    </w:p>
    <w:p w:rsidR="006C5A1A" w:rsidRDefault="006C5A1A" w:rsidP="006E1850">
      <w:pPr>
        <w:jc w:val="center"/>
        <w:rPr>
          <w:lang w:val="en-US" w:eastAsia="zh-CN"/>
        </w:rPr>
      </w:pPr>
    </w:p>
    <w:p w:rsidR="006C5A1A" w:rsidRDefault="006C5A1A" w:rsidP="006E1850">
      <w:pPr>
        <w:jc w:val="center"/>
        <w:rPr>
          <w:lang w:val="en-US" w:eastAsia="zh-CN"/>
        </w:rPr>
      </w:pPr>
      <w:r w:rsidRPr="006C5A1A">
        <w:rPr>
          <w:noProof/>
          <w:lang w:val="en-IE" w:eastAsia="en-IE"/>
        </w:rPr>
        <w:lastRenderedPageBreak/>
        <w:drawing>
          <wp:inline distT="0" distB="0" distL="0" distR="0" wp14:anchorId="77F381A5" wp14:editId="53C19D23">
            <wp:extent cx="6120765" cy="4795729"/>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4795729"/>
                    </a:xfrm>
                    <a:prstGeom prst="rect">
                      <a:avLst/>
                    </a:prstGeom>
                    <a:noFill/>
                    <a:ln>
                      <a:noFill/>
                    </a:ln>
                  </pic:spPr>
                </pic:pic>
              </a:graphicData>
            </a:graphic>
          </wp:inline>
        </w:drawing>
      </w:r>
    </w:p>
    <w:p w:rsidR="005153EC" w:rsidRDefault="005153EC" w:rsidP="006E1850">
      <w:pPr>
        <w:jc w:val="center"/>
        <w:rPr>
          <w:lang w:val="en-US" w:eastAsia="zh-CN"/>
        </w:rPr>
      </w:pPr>
    </w:p>
    <w:p w:rsidR="005153EC" w:rsidRPr="00D5460B" w:rsidRDefault="005153EC" w:rsidP="006E1850">
      <w:pPr>
        <w:jc w:val="center"/>
        <w:rPr>
          <w:lang w:val="en-US" w:eastAsia="zh-CN"/>
        </w:rPr>
      </w:pPr>
      <w:r w:rsidRPr="005153EC">
        <w:rPr>
          <w:noProof/>
          <w:lang w:val="en-IE" w:eastAsia="en-IE"/>
        </w:rPr>
        <w:lastRenderedPageBreak/>
        <w:drawing>
          <wp:inline distT="0" distB="0" distL="0" distR="0" wp14:anchorId="4079EFF7" wp14:editId="20F7AF00">
            <wp:extent cx="6120765" cy="4494584"/>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4494584"/>
                    </a:xfrm>
                    <a:prstGeom prst="rect">
                      <a:avLst/>
                    </a:prstGeom>
                    <a:noFill/>
                    <a:ln>
                      <a:noFill/>
                    </a:ln>
                  </pic:spPr>
                </pic:pic>
              </a:graphicData>
            </a:graphic>
          </wp:inline>
        </w:drawing>
      </w:r>
    </w:p>
    <w:sectPr w:rsidR="005153EC" w:rsidRPr="00D5460B" w:rsidSect="00D02712">
      <w:headerReference w:type="defaul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BCF" w:rsidRDefault="008E7BCF">
      <w:r>
        <w:separator/>
      </w:r>
    </w:p>
  </w:endnote>
  <w:endnote w:type="continuationSeparator" w:id="0">
    <w:p w:rsidR="008E7BCF" w:rsidRDefault="008E7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BCF" w:rsidRDefault="008E7BCF">
      <w:r>
        <w:t>____________________</w:t>
      </w:r>
    </w:p>
  </w:footnote>
  <w:footnote w:type="continuationSeparator" w:id="0">
    <w:p w:rsidR="008E7BCF" w:rsidRDefault="008E7B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025509">
      <w:rPr>
        <w:rStyle w:val="PageNumber"/>
        <w:noProof/>
      </w:rPr>
      <w:t>13</w:t>
    </w:r>
    <w:r w:rsidR="00D02712">
      <w:rPr>
        <w:rStyle w:val="PageNumber"/>
      </w:rPr>
      <w:fldChar w:fldCharType="end"/>
    </w:r>
    <w:r>
      <w:rPr>
        <w:rStyle w:val="PageNumber"/>
      </w:rPr>
      <w:t xml:space="preserve"> -</w:t>
    </w:r>
  </w:p>
  <w:p w:rsidR="00FA124A" w:rsidRDefault="00EA0A3E">
    <w:pPr>
      <w:pStyle w:val="Header"/>
      <w:rPr>
        <w:lang w:val="en-US"/>
      </w:rPr>
    </w:pPr>
    <w:r>
      <w:rPr>
        <w:lang w:val="en-US"/>
      </w:rPr>
      <w:t xml:space="preserve">5B/   </w:t>
    </w:r>
    <w:r w:rsidR="00D5460B">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214F21"/>
    <w:multiLevelType w:val="multilevel"/>
    <w:tmpl w:val="0C090025"/>
    <w:lvl w:ilvl="0">
      <w:start w:val="1"/>
      <w:numFmt w:val="decimal"/>
      <w:lvlText w:val="%1"/>
      <w:lvlJc w:val="left"/>
      <w:pPr>
        <w:ind w:left="1850" w:hanging="432"/>
      </w:pPr>
    </w:lvl>
    <w:lvl w:ilvl="1">
      <w:start w:val="1"/>
      <w:numFmt w:val="decimal"/>
      <w:lvlText w:val="%1.%2"/>
      <w:lvlJc w:val="left"/>
      <w:pPr>
        <w:ind w:left="1994" w:hanging="576"/>
      </w:pPr>
    </w:lvl>
    <w:lvl w:ilvl="2">
      <w:start w:val="1"/>
      <w:numFmt w:val="decimal"/>
      <w:lvlText w:val="%1.%2.%3"/>
      <w:lvlJc w:val="left"/>
      <w:pPr>
        <w:ind w:left="2138" w:hanging="720"/>
      </w:pPr>
    </w:lvl>
    <w:lvl w:ilvl="3">
      <w:start w:val="1"/>
      <w:numFmt w:val="decimal"/>
      <w:lvlText w:val="%1.%2.%3.%4"/>
      <w:lvlJc w:val="left"/>
      <w:pPr>
        <w:ind w:left="2282" w:hanging="864"/>
      </w:pPr>
    </w:lvl>
    <w:lvl w:ilvl="4">
      <w:start w:val="1"/>
      <w:numFmt w:val="decimal"/>
      <w:lvlText w:val="%1.%2.%3.%4.%5"/>
      <w:lvlJc w:val="left"/>
      <w:pPr>
        <w:ind w:left="2426" w:hanging="1008"/>
      </w:pPr>
    </w:lvl>
    <w:lvl w:ilvl="5">
      <w:start w:val="1"/>
      <w:numFmt w:val="decimal"/>
      <w:lvlText w:val="%1.%2.%3.%4.%5.%6"/>
      <w:lvlJc w:val="left"/>
      <w:pPr>
        <w:ind w:left="2570" w:hanging="1152"/>
      </w:pPr>
    </w:lvl>
    <w:lvl w:ilvl="6">
      <w:start w:val="1"/>
      <w:numFmt w:val="decimal"/>
      <w:lvlText w:val="%1.%2.%3.%4.%5.%6.%7"/>
      <w:lvlJc w:val="left"/>
      <w:pPr>
        <w:ind w:left="2714" w:hanging="1296"/>
      </w:pPr>
    </w:lvl>
    <w:lvl w:ilvl="7">
      <w:start w:val="1"/>
      <w:numFmt w:val="decimal"/>
      <w:lvlText w:val="%1.%2.%3.%4.%5.%6.%7.%8"/>
      <w:lvlJc w:val="left"/>
      <w:pPr>
        <w:ind w:left="2858" w:hanging="1440"/>
      </w:pPr>
    </w:lvl>
    <w:lvl w:ilvl="8">
      <w:start w:val="1"/>
      <w:numFmt w:val="decimal"/>
      <w:lvlText w:val="%1.%2.%3.%4.%5.%6.%7.%8.%9"/>
      <w:lvlJc w:val="left"/>
      <w:pPr>
        <w:ind w:left="3002"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60B"/>
    <w:rsid w:val="000069D4"/>
    <w:rsid w:val="000174AD"/>
    <w:rsid w:val="00025509"/>
    <w:rsid w:val="000A7D55"/>
    <w:rsid w:val="000C2E8E"/>
    <w:rsid w:val="000D486C"/>
    <w:rsid w:val="000E0E7C"/>
    <w:rsid w:val="000F1B4B"/>
    <w:rsid w:val="000F6F90"/>
    <w:rsid w:val="0012744F"/>
    <w:rsid w:val="00156F66"/>
    <w:rsid w:val="00182528"/>
    <w:rsid w:val="0018500B"/>
    <w:rsid w:val="00196A19"/>
    <w:rsid w:val="00201D7C"/>
    <w:rsid w:val="00202DC1"/>
    <w:rsid w:val="002116EE"/>
    <w:rsid w:val="002309D8"/>
    <w:rsid w:val="002A7FE2"/>
    <w:rsid w:val="002E1B4F"/>
    <w:rsid w:val="002F2E67"/>
    <w:rsid w:val="00315546"/>
    <w:rsid w:val="00330567"/>
    <w:rsid w:val="00386A9D"/>
    <w:rsid w:val="00391081"/>
    <w:rsid w:val="003B2789"/>
    <w:rsid w:val="003C13CE"/>
    <w:rsid w:val="003D7322"/>
    <w:rsid w:val="003E2518"/>
    <w:rsid w:val="004B1EF7"/>
    <w:rsid w:val="004B3FAD"/>
    <w:rsid w:val="00501DCA"/>
    <w:rsid w:val="00507AB8"/>
    <w:rsid w:val="00513A47"/>
    <w:rsid w:val="005153EC"/>
    <w:rsid w:val="005408DF"/>
    <w:rsid w:val="00573344"/>
    <w:rsid w:val="00583F9B"/>
    <w:rsid w:val="005E5C10"/>
    <w:rsid w:val="005F2C78"/>
    <w:rsid w:val="006144E4"/>
    <w:rsid w:val="00650299"/>
    <w:rsid w:val="00651AD8"/>
    <w:rsid w:val="00655FC5"/>
    <w:rsid w:val="006871A6"/>
    <w:rsid w:val="006C5A1A"/>
    <w:rsid w:val="006E1850"/>
    <w:rsid w:val="00736676"/>
    <w:rsid w:val="007537EE"/>
    <w:rsid w:val="007A31D5"/>
    <w:rsid w:val="007F3858"/>
    <w:rsid w:val="00822581"/>
    <w:rsid w:val="008309DD"/>
    <w:rsid w:val="0083227A"/>
    <w:rsid w:val="00866900"/>
    <w:rsid w:val="00881BA1"/>
    <w:rsid w:val="008C26B8"/>
    <w:rsid w:val="008E7BCF"/>
    <w:rsid w:val="0095617E"/>
    <w:rsid w:val="00982084"/>
    <w:rsid w:val="00995963"/>
    <w:rsid w:val="009B61EB"/>
    <w:rsid w:val="009C2064"/>
    <w:rsid w:val="009D1697"/>
    <w:rsid w:val="00A014F8"/>
    <w:rsid w:val="00A2058A"/>
    <w:rsid w:val="00A32EEF"/>
    <w:rsid w:val="00A5173C"/>
    <w:rsid w:val="00A61AEF"/>
    <w:rsid w:val="00AB6257"/>
    <w:rsid w:val="00AD6F32"/>
    <w:rsid w:val="00AF173A"/>
    <w:rsid w:val="00B066A4"/>
    <w:rsid w:val="00B07A13"/>
    <w:rsid w:val="00B4279B"/>
    <w:rsid w:val="00B45FC9"/>
    <w:rsid w:val="00BC7CCF"/>
    <w:rsid w:val="00BE470B"/>
    <w:rsid w:val="00BF1BC0"/>
    <w:rsid w:val="00C57A91"/>
    <w:rsid w:val="00CC01C2"/>
    <w:rsid w:val="00CF21F2"/>
    <w:rsid w:val="00D02712"/>
    <w:rsid w:val="00D214D0"/>
    <w:rsid w:val="00D5460B"/>
    <w:rsid w:val="00D56825"/>
    <w:rsid w:val="00D6546B"/>
    <w:rsid w:val="00DD4BED"/>
    <w:rsid w:val="00DE39F0"/>
    <w:rsid w:val="00DF0AF3"/>
    <w:rsid w:val="00E27D7E"/>
    <w:rsid w:val="00E42E13"/>
    <w:rsid w:val="00E53A32"/>
    <w:rsid w:val="00E6257C"/>
    <w:rsid w:val="00E63C59"/>
    <w:rsid w:val="00EA0A3E"/>
    <w:rsid w:val="00F4162E"/>
    <w:rsid w:val="00F51343"/>
    <w:rsid w:val="00F97D57"/>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odyText">
    <w:name w:val="Body Text"/>
    <w:basedOn w:val="Normal"/>
    <w:link w:val="BodyTextChar"/>
    <w:qFormat/>
    <w:rsid w:val="00D5460B"/>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rsid w:val="00D5460B"/>
    <w:rPr>
      <w:rFonts w:ascii="Arial" w:eastAsia="Calibri" w:hAnsi="Arial"/>
      <w:sz w:val="22"/>
      <w:szCs w:val="22"/>
      <w:lang w:val="en-GB" w:eastAsia="en-GB"/>
    </w:rPr>
  </w:style>
  <w:style w:type="character" w:styleId="Hyperlink">
    <w:name w:val="Hyperlink"/>
    <w:basedOn w:val="DefaultParagraphFont"/>
    <w:rsid w:val="00D56825"/>
    <w:rPr>
      <w:color w:val="0000FF" w:themeColor="hyperlink"/>
      <w:u w:val="single"/>
    </w:rPr>
  </w:style>
  <w:style w:type="paragraph" w:styleId="BalloonText">
    <w:name w:val="Balloon Text"/>
    <w:basedOn w:val="Normal"/>
    <w:link w:val="BalloonTextChar"/>
    <w:rsid w:val="0095617E"/>
    <w:pPr>
      <w:spacing w:before="0"/>
    </w:pPr>
    <w:rPr>
      <w:rFonts w:ascii="Tahoma" w:hAnsi="Tahoma" w:cs="Tahoma"/>
      <w:sz w:val="16"/>
      <w:szCs w:val="16"/>
    </w:rPr>
  </w:style>
  <w:style w:type="character" w:customStyle="1" w:styleId="BalloonTextChar">
    <w:name w:val="Balloon Text Char"/>
    <w:basedOn w:val="DefaultParagraphFont"/>
    <w:link w:val="BalloonText"/>
    <w:rsid w:val="0095617E"/>
    <w:rPr>
      <w:rFonts w:ascii="Tahoma" w:hAnsi="Tahoma" w:cs="Tahoma"/>
      <w:sz w:val="16"/>
      <w:szCs w:val="16"/>
      <w:lang w:val="en-GB" w:eastAsia="en-US"/>
    </w:rPr>
  </w:style>
  <w:style w:type="character" w:customStyle="1" w:styleId="TabletextChar">
    <w:name w:val="Table_text Char"/>
    <w:link w:val="Tabletext"/>
    <w:locked/>
    <w:rsid w:val="000D486C"/>
    <w:rPr>
      <w:rFonts w:ascii="Times New Roman" w:hAnsi="Times New Roman"/>
      <w:lang w:val="en-GB" w:eastAsia="en-US"/>
    </w:rPr>
  </w:style>
  <w:style w:type="character" w:customStyle="1" w:styleId="TableheadChar">
    <w:name w:val="Table_head Char"/>
    <w:link w:val="Tablehead"/>
    <w:locked/>
    <w:rsid w:val="000D486C"/>
    <w:rPr>
      <w:rFonts w:ascii="Times New Roman Bold" w:hAnsi="Times New Roman Bold"/>
      <w:b/>
      <w:lang w:val="en-GB" w:eastAsia="en-US"/>
    </w:rPr>
  </w:style>
  <w:style w:type="table" w:styleId="TableGrid">
    <w:name w:val="Table Grid"/>
    <w:basedOn w:val="TableNormal"/>
    <w:rsid w:val="000D486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odyText">
    <w:name w:val="Body Text"/>
    <w:basedOn w:val="Normal"/>
    <w:link w:val="BodyTextChar"/>
    <w:qFormat/>
    <w:rsid w:val="00D5460B"/>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rsid w:val="00D5460B"/>
    <w:rPr>
      <w:rFonts w:ascii="Arial" w:eastAsia="Calibri" w:hAnsi="Arial"/>
      <w:sz w:val="22"/>
      <w:szCs w:val="22"/>
      <w:lang w:val="en-GB" w:eastAsia="en-GB"/>
    </w:rPr>
  </w:style>
  <w:style w:type="character" w:styleId="Hyperlink">
    <w:name w:val="Hyperlink"/>
    <w:basedOn w:val="DefaultParagraphFont"/>
    <w:rsid w:val="00D56825"/>
    <w:rPr>
      <w:color w:val="0000FF" w:themeColor="hyperlink"/>
      <w:u w:val="single"/>
    </w:rPr>
  </w:style>
  <w:style w:type="paragraph" w:styleId="BalloonText">
    <w:name w:val="Balloon Text"/>
    <w:basedOn w:val="Normal"/>
    <w:link w:val="BalloonTextChar"/>
    <w:rsid w:val="0095617E"/>
    <w:pPr>
      <w:spacing w:before="0"/>
    </w:pPr>
    <w:rPr>
      <w:rFonts w:ascii="Tahoma" w:hAnsi="Tahoma" w:cs="Tahoma"/>
      <w:sz w:val="16"/>
      <w:szCs w:val="16"/>
    </w:rPr>
  </w:style>
  <w:style w:type="character" w:customStyle="1" w:styleId="BalloonTextChar">
    <w:name w:val="Balloon Text Char"/>
    <w:basedOn w:val="DefaultParagraphFont"/>
    <w:link w:val="BalloonText"/>
    <w:rsid w:val="0095617E"/>
    <w:rPr>
      <w:rFonts w:ascii="Tahoma" w:hAnsi="Tahoma" w:cs="Tahoma"/>
      <w:sz w:val="16"/>
      <w:szCs w:val="16"/>
      <w:lang w:val="en-GB" w:eastAsia="en-US"/>
    </w:rPr>
  </w:style>
  <w:style w:type="character" w:customStyle="1" w:styleId="TabletextChar">
    <w:name w:val="Table_text Char"/>
    <w:link w:val="Tabletext"/>
    <w:locked/>
    <w:rsid w:val="000D486C"/>
    <w:rPr>
      <w:rFonts w:ascii="Times New Roman" w:hAnsi="Times New Roman"/>
      <w:lang w:val="en-GB" w:eastAsia="en-US"/>
    </w:rPr>
  </w:style>
  <w:style w:type="character" w:customStyle="1" w:styleId="TableheadChar">
    <w:name w:val="Table_head Char"/>
    <w:link w:val="Tablehead"/>
    <w:locked/>
    <w:rsid w:val="000D486C"/>
    <w:rPr>
      <w:rFonts w:ascii="Times New Roman Bold" w:hAnsi="Times New Roman Bold"/>
      <w:b/>
      <w:lang w:val="en-GB" w:eastAsia="en-US"/>
    </w:rPr>
  </w:style>
  <w:style w:type="table" w:styleId="TableGrid">
    <w:name w:val="Table Grid"/>
    <w:basedOn w:val="TableNormal"/>
    <w:rsid w:val="000D486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9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E8846-BB4A-4C25-92FC-4841DAF83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TotalTime>
  <Pages>13</Pages>
  <Words>1286</Words>
  <Characters>7336</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Seamus Doyle</cp:lastModifiedBy>
  <cp:revision>4</cp:revision>
  <cp:lastPrinted>2008-02-21T14:04:00Z</cp:lastPrinted>
  <dcterms:created xsi:type="dcterms:W3CDTF">2014-04-03T09:01:00Z</dcterms:created>
  <dcterms:modified xsi:type="dcterms:W3CDTF">2014-09-22T10:43:00Z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